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1FF63" w14:textId="77777777" w:rsidR="00BA175B" w:rsidRPr="00955A9B" w:rsidRDefault="00BA175B" w:rsidP="00955A9B">
      <w:pPr>
        <w:spacing w:line="360" w:lineRule="auto"/>
        <w:jc w:val="both"/>
        <w:rPr>
          <w:rFonts w:ascii="Times New Roman" w:hAnsi="Times New Roman" w:cs="Times New Roman"/>
          <w:sz w:val="24"/>
          <w:szCs w:val="24"/>
        </w:rPr>
      </w:pPr>
      <w:bookmarkStart w:id="0" w:name="_GoBack"/>
      <w:bookmarkEnd w:id="0"/>
    </w:p>
    <w:p w14:paraId="03AF574E" w14:textId="53684ED0" w:rsidR="00BA175B" w:rsidRPr="00955A9B" w:rsidRDefault="00BA175B" w:rsidP="00955A9B">
      <w:pPr>
        <w:spacing w:line="360" w:lineRule="auto"/>
        <w:jc w:val="both"/>
        <w:rPr>
          <w:rFonts w:ascii="Times New Roman" w:hAnsi="Times New Roman" w:cs="Times New Roman"/>
          <w:sz w:val="24"/>
          <w:szCs w:val="24"/>
        </w:rPr>
      </w:pPr>
    </w:p>
    <w:p w14:paraId="63A45C99" w14:textId="33814E06" w:rsidR="00CC14B6" w:rsidRPr="00955A9B" w:rsidRDefault="00CC14B6" w:rsidP="00955A9B">
      <w:pPr>
        <w:spacing w:line="360" w:lineRule="auto"/>
        <w:jc w:val="both"/>
        <w:rPr>
          <w:rFonts w:ascii="Times New Roman" w:hAnsi="Times New Roman" w:cs="Times New Roman"/>
          <w:sz w:val="24"/>
          <w:szCs w:val="24"/>
        </w:rPr>
      </w:pPr>
    </w:p>
    <w:p w14:paraId="029AFA00" w14:textId="0E757FDC" w:rsidR="00CC14B6" w:rsidRPr="00955A9B" w:rsidRDefault="00CC14B6" w:rsidP="00955A9B">
      <w:pPr>
        <w:spacing w:line="360" w:lineRule="auto"/>
        <w:jc w:val="both"/>
        <w:rPr>
          <w:rFonts w:ascii="Times New Roman" w:hAnsi="Times New Roman" w:cs="Times New Roman"/>
          <w:sz w:val="24"/>
          <w:szCs w:val="24"/>
        </w:rPr>
      </w:pPr>
    </w:p>
    <w:p w14:paraId="4CB6D4B2" w14:textId="1D0A7CDE" w:rsidR="00CC14B6" w:rsidRPr="00955A9B" w:rsidRDefault="00CC14B6" w:rsidP="00955A9B">
      <w:pPr>
        <w:spacing w:line="360" w:lineRule="auto"/>
        <w:jc w:val="both"/>
        <w:rPr>
          <w:rFonts w:ascii="Times New Roman" w:hAnsi="Times New Roman" w:cs="Times New Roman"/>
          <w:sz w:val="24"/>
          <w:szCs w:val="24"/>
        </w:rPr>
      </w:pPr>
    </w:p>
    <w:p w14:paraId="7FA8B336" w14:textId="77777777" w:rsidR="00CC14B6" w:rsidRPr="00955A9B" w:rsidRDefault="00CC14B6" w:rsidP="00955A9B">
      <w:pPr>
        <w:spacing w:line="360" w:lineRule="auto"/>
        <w:jc w:val="both"/>
        <w:rPr>
          <w:rFonts w:ascii="Times New Roman" w:hAnsi="Times New Roman" w:cs="Times New Roman"/>
          <w:sz w:val="24"/>
          <w:szCs w:val="24"/>
        </w:rPr>
      </w:pPr>
    </w:p>
    <w:p w14:paraId="78B4F2BF" w14:textId="77777777" w:rsidR="00BA175B" w:rsidRPr="00955A9B" w:rsidRDefault="00BA175B" w:rsidP="00955A9B">
      <w:pPr>
        <w:spacing w:line="360" w:lineRule="auto"/>
        <w:jc w:val="both"/>
        <w:rPr>
          <w:rFonts w:ascii="Times New Roman" w:hAnsi="Times New Roman" w:cs="Times New Roman"/>
          <w:sz w:val="24"/>
          <w:szCs w:val="24"/>
        </w:rPr>
      </w:pPr>
    </w:p>
    <w:p w14:paraId="50D1780E" w14:textId="7FE6B871" w:rsidR="00BA175B" w:rsidRPr="00955A9B" w:rsidRDefault="00BA175B" w:rsidP="00955A9B">
      <w:pPr>
        <w:spacing w:line="360" w:lineRule="auto"/>
        <w:jc w:val="center"/>
        <w:rPr>
          <w:rFonts w:ascii="Times New Roman" w:hAnsi="Times New Roman" w:cs="Times New Roman"/>
          <w:noProof/>
          <w:sz w:val="36"/>
          <w:szCs w:val="24"/>
        </w:rPr>
      </w:pPr>
      <w:r w:rsidRPr="00955A9B">
        <w:rPr>
          <w:rFonts w:ascii="Times New Roman" w:eastAsia="Times New Roman" w:hAnsi="Times New Roman" w:cs="Times New Roman"/>
          <w:b/>
          <w:sz w:val="36"/>
          <w:szCs w:val="24"/>
        </w:rPr>
        <w:t xml:space="preserve">Il Percorso Diagnostico Terapeutico Assistenziale (PDTA) per il </w:t>
      </w:r>
      <w:r w:rsidR="00CC14B6" w:rsidRPr="00955A9B">
        <w:rPr>
          <w:rFonts w:ascii="Times New Roman" w:eastAsia="Times New Roman" w:hAnsi="Times New Roman" w:cs="Times New Roman"/>
          <w:b/>
          <w:sz w:val="36"/>
          <w:szCs w:val="24"/>
        </w:rPr>
        <w:t>C</w:t>
      </w:r>
      <w:r w:rsidRPr="00955A9B">
        <w:rPr>
          <w:rFonts w:ascii="Times New Roman" w:eastAsia="Times New Roman" w:hAnsi="Times New Roman" w:cs="Times New Roman"/>
          <w:b/>
          <w:sz w:val="36"/>
          <w:szCs w:val="24"/>
        </w:rPr>
        <w:t xml:space="preserve">arcinoma dello </w:t>
      </w:r>
      <w:r w:rsidR="00CC14B6" w:rsidRPr="00955A9B">
        <w:rPr>
          <w:rFonts w:ascii="Times New Roman" w:eastAsia="Times New Roman" w:hAnsi="Times New Roman" w:cs="Times New Roman"/>
          <w:b/>
          <w:sz w:val="36"/>
          <w:szCs w:val="24"/>
        </w:rPr>
        <w:t>S</w:t>
      </w:r>
      <w:r w:rsidR="001572A3" w:rsidRPr="00955A9B">
        <w:rPr>
          <w:rFonts w:ascii="Times New Roman" w:eastAsia="Times New Roman" w:hAnsi="Times New Roman" w:cs="Times New Roman"/>
          <w:b/>
          <w:sz w:val="36"/>
          <w:szCs w:val="24"/>
        </w:rPr>
        <w:t>t</w:t>
      </w:r>
      <w:r w:rsidRPr="00955A9B">
        <w:rPr>
          <w:rFonts w:ascii="Times New Roman" w:eastAsia="Times New Roman" w:hAnsi="Times New Roman" w:cs="Times New Roman"/>
          <w:b/>
          <w:sz w:val="36"/>
          <w:szCs w:val="24"/>
        </w:rPr>
        <w:t>omaco</w:t>
      </w:r>
    </w:p>
    <w:p w14:paraId="0EF795DE" w14:textId="77777777" w:rsidR="00C77143" w:rsidRPr="00955A9B" w:rsidRDefault="00C77143" w:rsidP="00955A9B">
      <w:pPr>
        <w:spacing w:line="360" w:lineRule="auto"/>
        <w:jc w:val="center"/>
        <w:rPr>
          <w:rFonts w:ascii="Times New Roman" w:hAnsi="Times New Roman" w:cs="Times New Roman"/>
          <w:b/>
          <w:bCs/>
          <w:sz w:val="36"/>
          <w:szCs w:val="24"/>
        </w:rPr>
      </w:pPr>
    </w:p>
    <w:p w14:paraId="4B3D24E3" w14:textId="217EF6F0" w:rsidR="00C77143" w:rsidRPr="00955A9B" w:rsidRDefault="001F6F3D" w:rsidP="00955A9B">
      <w:pPr>
        <w:spacing w:line="360" w:lineRule="auto"/>
        <w:jc w:val="center"/>
        <w:rPr>
          <w:rFonts w:ascii="Times New Roman" w:hAnsi="Times New Roman" w:cs="Times New Roman"/>
          <w:b/>
          <w:bCs/>
          <w:sz w:val="36"/>
          <w:szCs w:val="24"/>
        </w:rPr>
      </w:pPr>
      <w:r>
        <w:rPr>
          <w:rFonts w:ascii="Times New Roman" w:hAnsi="Times New Roman" w:cs="Times New Roman"/>
          <w:b/>
          <w:bCs/>
          <w:sz w:val="36"/>
          <w:szCs w:val="24"/>
        </w:rPr>
        <w:t>Edizione</w:t>
      </w:r>
      <w:r w:rsidR="00287805" w:rsidRPr="00955A9B">
        <w:rPr>
          <w:rFonts w:ascii="Times New Roman" w:hAnsi="Times New Roman" w:cs="Times New Roman"/>
          <w:b/>
          <w:bCs/>
          <w:sz w:val="36"/>
          <w:szCs w:val="24"/>
        </w:rPr>
        <w:t xml:space="preserve"> 202</w:t>
      </w:r>
      <w:r w:rsidR="00963C05">
        <w:rPr>
          <w:rFonts w:ascii="Times New Roman" w:hAnsi="Times New Roman" w:cs="Times New Roman"/>
          <w:b/>
          <w:bCs/>
          <w:sz w:val="36"/>
          <w:szCs w:val="24"/>
        </w:rPr>
        <w:t>5</w:t>
      </w:r>
    </w:p>
    <w:p w14:paraId="69CF5988" w14:textId="52AAA29A" w:rsidR="00CC14B6" w:rsidRPr="00955A9B" w:rsidRDefault="00CC14B6" w:rsidP="00955A9B">
      <w:pPr>
        <w:spacing w:line="360" w:lineRule="auto"/>
        <w:jc w:val="both"/>
        <w:rPr>
          <w:rFonts w:ascii="Times New Roman" w:hAnsi="Times New Roman" w:cs="Times New Roman"/>
          <w:b/>
          <w:bCs/>
          <w:sz w:val="24"/>
          <w:szCs w:val="24"/>
        </w:rPr>
      </w:pPr>
    </w:p>
    <w:p w14:paraId="576E9F30" w14:textId="49DDD4A5" w:rsidR="00CC14B6" w:rsidRPr="00955A9B" w:rsidRDefault="00CC14B6" w:rsidP="00955A9B">
      <w:pPr>
        <w:spacing w:line="360" w:lineRule="auto"/>
        <w:jc w:val="both"/>
        <w:rPr>
          <w:rFonts w:ascii="Times New Roman" w:hAnsi="Times New Roman" w:cs="Times New Roman"/>
          <w:b/>
          <w:bCs/>
          <w:sz w:val="24"/>
          <w:szCs w:val="24"/>
        </w:rPr>
      </w:pPr>
    </w:p>
    <w:p w14:paraId="5E33A078" w14:textId="7DA01653" w:rsidR="00CC14B6" w:rsidRPr="00955A9B" w:rsidRDefault="00CC14B6" w:rsidP="00955A9B">
      <w:pPr>
        <w:spacing w:line="360" w:lineRule="auto"/>
        <w:jc w:val="both"/>
        <w:rPr>
          <w:rFonts w:ascii="Times New Roman" w:hAnsi="Times New Roman" w:cs="Times New Roman"/>
          <w:b/>
          <w:bCs/>
          <w:sz w:val="24"/>
          <w:szCs w:val="24"/>
        </w:rPr>
      </w:pPr>
    </w:p>
    <w:p w14:paraId="01855C3A" w14:textId="0E3488D2" w:rsidR="00CC14B6" w:rsidRPr="00955A9B" w:rsidRDefault="00CC14B6" w:rsidP="00955A9B">
      <w:pPr>
        <w:spacing w:line="360" w:lineRule="auto"/>
        <w:jc w:val="both"/>
        <w:rPr>
          <w:rFonts w:ascii="Times New Roman" w:hAnsi="Times New Roman" w:cs="Times New Roman"/>
          <w:b/>
          <w:bCs/>
          <w:sz w:val="24"/>
          <w:szCs w:val="24"/>
        </w:rPr>
      </w:pPr>
    </w:p>
    <w:p w14:paraId="10719006" w14:textId="35CE9CDE" w:rsidR="00955A9B" w:rsidRPr="00955A9B" w:rsidRDefault="00955A9B" w:rsidP="00955A9B">
      <w:pPr>
        <w:spacing w:line="360" w:lineRule="auto"/>
        <w:jc w:val="both"/>
        <w:rPr>
          <w:rFonts w:ascii="Times New Roman" w:hAnsi="Times New Roman" w:cs="Times New Roman"/>
          <w:b/>
          <w:bCs/>
          <w:sz w:val="24"/>
          <w:szCs w:val="24"/>
        </w:rPr>
      </w:pPr>
    </w:p>
    <w:p w14:paraId="5264B7E8" w14:textId="0BE5A7A5" w:rsidR="00955A9B" w:rsidRPr="00955A9B" w:rsidRDefault="00955A9B" w:rsidP="00955A9B">
      <w:pPr>
        <w:spacing w:line="360" w:lineRule="auto"/>
        <w:jc w:val="both"/>
        <w:rPr>
          <w:rFonts w:ascii="Times New Roman" w:hAnsi="Times New Roman" w:cs="Times New Roman"/>
          <w:b/>
          <w:bCs/>
          <w:sz w:val="24"/>
          <w:szCs w:val="24"/>
        </w:rPr>
      </w:pPr>
    </w:p>
    <w:p w14:paraId="2FB23A85" w14:textId="70ED5B73" w:rsidR="00955A9B" w:rsidRPr="00955A9B" w:rsidRDefault="00955A9B" w:rsidP="00955A9B">
      <w:pPr>
        <w:spacing w:line="360" w:lineRule="auto"/>
        <w:jc w:val="both"/>
        <w:rPr>
          <w:rFonts w:ascii="Times New Roman" w:hAnsi="Times New Roman" w:cs="Times New Roman"/>
          <w:b/>
          <w:bCs/>
          <w:sz w:val="24"/>
          <w:szCs w:val="24"/>
        </w:rPr>
      </w:pPr>
    </w:p>
    <w:p w14:paraId="03BCFDFF" w14:textId="77777777" w:rsidR="00C77143" w:rsidRPr="00955A9B" w:rsidRDefault="00C77143" w:rsidP="00955A9B">
      <w:pPr>
        <w:spacing w:line="360" w:lineRule="auto"/>
        <w:jc w:val="both"/>
        <w:rPr>
          <w:rFonts w:ascii="Times New Roman" w:hAnsi="Times New Roman" w:cs="Times New Roman"/>
          <w:sz w:val="24"/>
          <w:szCs w:val="24"/>
        </w:rPr>
      </w:pPr>
      <w:r w:rsidRPr="00955A9B">
        <w:rPr>
          <w:rFonts w:ascii="Times New Roman" w:hAnsi="Times New Roman" w:cs="Times New Roman"/>
          <w:noProof/>
          <w:sz w:val="24"/>
          <w:szCs w:val="24"/>
          <w:lang w:eastAsia="it-IT"/>
        </w:rPr>
        <w:drawing>
          <wp:anchor distT="0" distB="0" distL="114300" distR="114300" simplePos="0" relativeHeight="251626496" behindDoc="1" locked="0" layoutInCell="1" allowOverlap="1" wp14:anchorId="28D20E27" wp14:editId="1D75BDD2">
            <wp:simplePos x="0" y="0"/>
            <wp:positionH relativeFrom="margin">
              <wp:align>right</wp:align>
            </wp:positionH>
            <wp:positionV relativeFrom="paragraph">
              <wp:posOffset>145415</wp:posOffset>
            </wp:positionV>
            <wp:extent cx="6120130" cy="113220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132205"/>
                    </a:xfrm>
                    <a:prstGeom prst="rect">
                      <a:avLst/>
                    </a:prstGeom>
                    <a:noFill/>
                  </pic:spPr>
                </pic:pic>
              </a:graphicData>
            </a:graphic>
          </wp:anchor>
        </w:drawing>
      </w:r>
    </w:p>
    <w:p w14:paraId="0468D7D6" w14:textId="77777777" w:rsidR="00C77143" w:rsidRPr="00955A9B" w:rsidRDefault="00C77143" w:rsidP="00955A9B">
      <w:pPr>
        <w:spacing w:line="360" w:lineRule="auto"/>
        <w:jc w:val="both"/>
        <w:rPr>
          <w:rFonts w:ascii="Times New Roman" w:hAnsi="Times New Roman" w:cs="Times New Roman"/>
          <w:sz w:val="24"/>
          <w:szCs w:val="24"/>
        </w:rPr>
      </w:pPr>
    </w:p>
    <w:p w14:paraId="452CE90F" w14:textId="53F993F5" w:rsidR="000F7689" w:rsidRPr="00955A9B" w:rsidRDefault="000F7689" w:rsidP="00955A9B">
      <w:pPr>
        <w:spacing w:line="360" w:lineRule="auto"/>
        <w:jc w:val="both"/>
        <w:rPr>
          <w:rFonts w:ascii="Times New Roman" w:hAnsi="Times New Roman" w:cs="Times New Roman"/>
          <w:sz w:val="24"/>
          <w:szCs w:val="24"/>
        </w:rPr>
      </w:pPr>
    </w:p>
    <w:p w14:paraId="66F5C6C1" w14:textId="196F9C79" w:rsidR="00C77143" w:rsidRPr="00955A9B" w:rsidRDefault="004877A2" w:rsidP="00955A9B">
      <w:pPr>
        <w:spacing w:line="360" w:lineRule="auto"/>
        <w:jc w:val="both"/>
        <w:rPr>
          <w:rFonts w:ascii="Times New Roman" w:hAnsi="Times New Roman" w:cs="Times New Roman"/>
          <w:sz w:val="24"/>
          <w:szCs w:val="24"/>
        </w:rPr>
      </w:pPr>
      <w:r w:rsidRPr="00955A9B">
        <w:rPr>
          <w:rFonts w:ascii="Times New Roman" w:eastAsia="Yu Mincho" w:hAnsi="Times New Roman" w:cs="Times New Roman"/>
          <w:noProof/>
          <w:sz w:val="24"/>
          <w:szCs w:val="24"/>
          <w:lang w:eastAsia="it-IT"/>
        </w:rPr>
        <w:drawing>
          <wp:inline distT="0" distB="0" distL="0" distR="0" wp14:anchorId="69D28121" wp14:editId="4BB0D183">
            <wp:extent cx="1152525" cy="638175"/>
            <wp:effectExtent l="0" t="0" r="9525"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p w14:paraId="19DEF0A0" w14:textId="128ED3B4" w:rsidR="00C77143" w:rsidRPr="00955A9B" w:rsidRDefault="00C77143" w:rsidP="00955A9B">
      <w:pPr>
        <w:spacing w:line="360" w:lineRule="auto"/>
        <w:ind w:left="120" w:right="4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lastRenderedPageBreak/>
        <w:t xml:space="preserve">In tabella 1 sono </w:t>
      </w:r>
      <w:r w:rsidR="00CC14B6" w:rsidRPr="00955A9B">
        <w:rPr>
          <w:rFonts w:ascii="Times New Roman" w:eastAsia="Times New Roman" w:hAnsi="Times New Roman" w:cs="Times New Roman"/>
          <w:sz w:val="24"/>
          <w:szCs w:val="24"/>
        </w:rPr>
        <w:t>riportate</w:t>
      </w:r>
      <w:r w:rsidRPr="00955A9B">
        <w:rPr>
          <w:rFonts w:ascii="Times New Roman" w:eastAsia="Times New Roman" w:hAnsi="Times New Roman" w:cs="Times New Roman"/>
          <w:sz w:val="24"/>
          <w:szCs w:val="24"/>
        </w:rPr>
        <w:t xml:space="preserve"> le figure professionali ed Unità Operative Complesse (UOC) o Semplici (UO) deputate all’accoglienza, Presa in Carico ed Assistenza nell’ambito del </w:t>
      </w:r>
      <w:r w:rsidRPr="001F6F3D">
        <w:rPr>
          <w:rFonts w:ascii="Times New Roman" w:eastAsia="Times New Roman" w:hAnsi="Times New Roman" w:cs="Times New Roman"/>
          <w:sz w:val="24"/>
          <w:szCs w:val="24"/>
        </w:rPr>
        <w:t>GOM</w:t>
      </w:r>
      <w:r w:rsidRPr="00955A9B">
        <w:rPr>
          <w:rFonts w:ascii="Times New Roman" w:eastAsia="Times New Roman" w:hAnsi="Times New Roman" w:cs="Times New Roman"/>
          <w:sz w:val="24"/>
          <w:szCs w:val="24"/>
        </w:rPr>
        <w:t xml:space="preserve"> gastrico.</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00"/>
        <w:gridCol w:w="3506"/>
        <w:gridCol w:w="3816"/>
      </w:tblGrid>
      <w:tr w:rsidR="00955A9B" w:rsidRPr="00955A9B" w14:paraId="5116D1DF" w14:textId="77777777" w:rsidTr="007D6079">
        <w:trPr>
          <w:trHeight w:val="798"/>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18C1D7C2"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bookmarkStart w:id="1" w:name="_Hlk70016194"/>
            <w:r w:rsidRPr="00955A9B">
              <w:rPr>
                <w:rFonts w:ascii="Times New Roman" w:eastAsia="Arial Unicode MS" w:hAnsi="Times New Roman" w:cs="Times New Roman"/>
                <w:szCs w:val="24"/>
                <w:bdr w:val="none" w:sz="0" w:space="0" w:color="auto" w:frame="1"/>
              </w:rPr>
              <w:t>ACCOGLIENZA</w:t>
            </w: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F7EF8B4"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Case Manager</w:t>
            </w:r>
          </w:p>
          <w:p w14:paraId="2517F951"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da-DK"/>
              </w:rPr>
              <w:t xml:space="preserve">Medico                                             </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3C46FCB"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Identificato nell’Ambito del GOM</w:t>
            </w:r>
          </w:p>
          <w:p w14:paraId="420190A5"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Medico specialista di una delle unità afferenti al GOM</w:t>
            </w:r>
          </w:p>
        </w:tc>
      </w:tr>
      <w:tr w:rsidR="00955A9B" w:rsidRPr="00955A9B" w14:paraId="76866B87" w14:textId="77777777" w:rsidTr="00AE73EE">
        <w:trPr>
          <w:trHeight w:val="411"/>
        </w:trPr>
        <w:tc>
          <w:tcPr>
            <w:tcW w:w="2300" w:type="dxa"/>
            <w:vMerge/>
            <w:tcBorders>
              <w:top w:val="single" w:sz="4" w:space="0" w:color="000000"/>
              <w:left w:val="nil"/>
              <w:bottom w:val="single" w:sz="4" w:space="0" w:color="000000"/>
              <w:right w:val="nil"/>
            </w:tcBorders>
            <w:shd w:val="clear" w:color="auto" w:fill="auto"/>
            <w:vAlign w:val="center"/>
            <w:hideMark/>
          </w:tcPr>
          <w:p w14:paraId="737E403C" w14:textId="77777777" w:rsidR="009553C0" w:rsidRPr="00955A9B" w:rsidRDefault="009553C0" w:rsidP="00955A9B">
            <w:pPr>
              <w:spacing w:line="276" w:lineRule="auto"/>
              <w:rPr>
                <w:rFonts w:ascii="Times New Roman" w:eastAsia="Arial Unicode MS" w:hAnsi="Times New Roman" w:cs="Times New Roman"/>
                <w:szCs w:val="24"/>
                <w:bdr w:val="none" w:sz="0" w:space="0" w:color="auto" w:frame="1"/>
              </w:rPr>
            </w:pP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D733109"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0E6C2FAB" w14:textId="77777777" w:rsidR="00CC14B6"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 xml:space="preserve">Servizio civile </w:t>
            </w:r>
          </w:p>
          <w:p w14:paraId="572D0E32" w14:textId="676D6C5D"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Associazioni volontariato</w:t>
            </w:r>
          </w:p>
        </w:tc>
      </w:tr>
      <w:tr w:rsidR="00955A9B" w:rsidRPr="00955A9B" w14:paraId="0538CBC6" w14:textId="77777777" w:rsidTr="00AE73EE">
        <w:trPr>
          <w:trHeight w:val="873"/>
        </w:trPr>
        <w:tc>
          <w:tcPr>
            <w:tcW w:w="23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1DD8124E"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PRESA IN CARICO</w:t>
            </w:r>
          </w:p>
          <w:p w14:paraId="05430259"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(Core Team)</w:t>
            </w: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76BDB2CC"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da-DK"/>
              </w:rPr>
              <w:t xml:space="preserve">Oncologi </w:t>
            </w:r>
          </w:p>
          <w:p w14:paraId="66812B3A"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Chirurghi Generale</w:t>
            </w:r>
          </w:p>
          <w:p w14:paraId="0464384D"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Radioterapisti</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13D0887D"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pt-PT"/>
              </w:rPr>
              <w:t xml:space="preserve">UOC Oncologia Medica </w:t>
            </w:r>
          </w:p>
          <w:p w14:paraId="4210E4D3"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UOC Chirurgia Generale</w:t>
            </w:r>
          </w:p>
          <w:p w14:paraId="1D273C16"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UOC Radioterapisti</w:t>
            </w:r>
          </w:p>
        </w:tc>
      </w:tr>
      <w:tr w:rsidR="00955A9B" w:rsidRPr="00955A9B" w14:paraId="3DDB55EC" w14:textId="77777777" w:rsidTr="00AE73EE">
        <w:trPr>
          <w:trHeight w:val="3859"/>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EEE0BBF"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ASSISTENZA</w:t>
            </w:r>
          </w:p>
          <w:p w14:paraId="3D458DA8"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(Extended Team)</w:t>
            </w:r>
          </w:p>
          <w:p w14:paraId="305835D5"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p>
          <w:p w14:paraId="4315F103"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p>
          <w:p w14:paraId="3BCBE89E" w14:textId="77777777" w:rsidR="009553C0" w:rsidRPr="00955A9B" w:rsidRDefault="009553C0" w:rsidP="00955A9B">
            <w:pPr>
              <w:keepNext/>
              <w:spacing w:line="276" w:lineRule="auto"/>
              <w:rPr>
                <w:rFonts w:ascii="Times New Roman" w:eastAsia="Arial Unicode MS" w:hAnsi="Times New Roman" w:cs="Times New Roman"/>
                <w:i/>
                <w:iCs/>
                <w:szCs w:val="24"/>
                <w:bdr w:val="none" w:sz="0" w:space="0" w:color="auto" w:frame="1"/>
              </w:rPr>
            </w:pPr>
          </w:p>
          <w:p w14:paraId="18A7B7CA"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i/>
                <w:iCs/>
                <w:szCs w:val="24"/>
                <w:bdr w:val="none" w:sz="0" w:space="0" w:color="auto" w:frame="1"/>
              </w:rPr>
              <w:t xml:space="preserve"> </w:t>
            </w: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542714F"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da-DK"/>
              </w:rPr>
              <w:t xml:space="preserve">Oncologi </w:t>
            </w:r>
          </w:p>
          <w:p w14:paraId="1101D4FE"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Chirurghi Generale</w:t>
            </w:r>
          </w:p>
          <w:p w14:paraId="0E54E054"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rPr>
              <w:t>Radioterapisti</w:t>
            </w:r>
          </w:p>
          <w:p w14:paraId="692EB800"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Gastroenterologi</w:t>
            </w:r>
          </w:p>
          <w:p w14:paraId="4055CEC3"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Genetisti</w:t>
            </w:r>
          </w:p>
          <w:p w14:paraId="36E9E4DC"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Endoscopisti</w:t>
            </w:r>
          </w:p>
          <w:p w14:paraId="45FD937A"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Patologi clinici</w:t>
            </w:r>
          </w:p>
          <w:p w14:paraId="2C0F9B12"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Biologi Molecolari</w:t>
            </w:r>
          </w:p>
          <w:p w14:paraId="6DBCBCA8"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Anatomopatologi</w:t>
            </w:r>
          </w:p>
          <w:p w14:paraId="7C9E5EEE"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Radiologi</w:t>
            </w:r>
          </w:p>
          <w:p w14:paraId="62ACD1DC"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Medici del dolore</w:t>
            </w:r>
          </w:p>
          <w:p w14:paraId="1AFBD970"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Cardiologi</w:t>
            </w:r>
          </w:p>
          <w:p w14:paraId="4AD16279"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Psicologi</w:t>
            </w:r>
          </w:p>
          <w:p w14:paraId="5DBB8C0E"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Nutrizionisti</w:t>
            </w:r>
          </w:p>
          <w:p w14:paraId="7EF8D597"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Personale infermieristico</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2B270043"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pt-PT"/>
              </w:rPr>
              <w:t xml:space="preserve">UOC Oncologia Medica </w:t>
            </w:r>
          </w:p>
          <w:p w14:paraId="1241CE4E"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UOC Chirurgia Generale</w:t>
            </w:r>
          </w:p>
          <w:p w14:paraId="01943026"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rPr>
              <w:t>UOC Radioterapisti</w:t>
            </w:r>
            <w:r w:rsidRPr="00955A9B">
              <w:rPr>
                <w:rFonts w:ascii="Times New Roman" w:eastAsia="Arial Unicode MS" w:hAnsi="Times New Roman" w:cs="Times New Roman"/>
                <w:szCs w:val="24"/>
                <w:bdr w:val="none" w:sz="0" w:space="0" w:color="auto" w:frame="1"/>
                <w:lang w:val="pt-PT"/>
              </w:rPr>
              <w:t xml:space="preserve"> </w:t>
            </w:r>
          </w:p>
          <w:p w14:paraId="2D07E2EB"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Gastroenterologia</w:t>
            </w:r>
          </w:p>
          <w:p w14:paraId="2299254B"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Genetica Medica</w:t>
            </w:r>
          </w:p>
          <w:p w14:paraId="68387E01"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Endoscopia</w:t>
            </w:r>
          </w:p>
          <w:p w14:paraId="5A46E70F"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 xml:space="preserve">UOC Patologia clinica  </w:t>
            </w:r>
          </w:p>
          <w:p w14:paraId="6D1B01D0"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Biologia Molecolare</w:t>
            </w:r>
          </w:p>
          <w:p w14:paraId="402180D3"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Anatomia Patologica</w:t>
            </w:r>
          </w:p>
          <w:p w14:paraId="6057E6A8"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Radiodiagnostica</w:t>
            </w:r>
          </w:p>
          <w:p w14:paraId="2738AA3A"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 Terapie Palliative</w:t>
            </w:r>
          </w:p>
          <w:p w14:paraId="43E73BD3"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 Cardiologia</w:t>
            </w:r>
          </w:p>
          <w:p w14:paraId="18EEF5CE"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 Psicologia</w:t>
            </w:r>
          </w:p>
          <w:p w14:paraId="2258A5BF"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 Nutrizione</w:t>
            </w:r>
          </w:p>
        </w:tc>
      </w:tr>
      <w:tr w:rsidR="009553C0" w:rsidRPr="00955A9B" w14:paraId="19BA1E0E" w14:textId="77777777" w:rsidTr="009553C0">
        <w:trPr>
          <w:trHeight w:val="1119"/>
        </w:trPr>
        <w:tc>
          <w:tcPr>
            <w:tcW w:w="2300" w:type="dxa"/>
            <w:vMerge/>
            <w:tcBorders>
              <w:top w:val="single" w:sz="4" w:space="0" w:color="000000"/>
              <w:left w:val="nil"/>
              <w:bottom w:val="single" w:sz="4" w:space="0" w:color="000000"/>
              <w:right w:val="nil"/>
            </w:tcBorders>
            <w:shd w:val="clear" w:color="auto" w:fill="auto"/>
            <w:vAlign w:val="center"/>
            <w:hideMark/>
          </w:tcPr>
          <w:p w14:paraId="227C07CB" w14:textId="77777777" w:rsidR="009553C0" w:rsidRPr="00955A9B" w:rsidRDefault="009553C0" w:rsidP="00955A9B">
            <w:pPr>
              <w:spacing w:line="276" w:lineRule="auto"/>
              <w:rPr>
                <w:rFonts w:ascii="Times New Roman" w:eastAsia="Arial Unicode MS" w:hAnsi="Times New Roman" w:cs="Times New Roman"/>
                <w:szCs w:val="24"/>
                <w:bdr w:val="none" w:sz="0" w:space="0" w:color="auto" w:frame="1"/>
              </w:rPr>
            </w:pP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0B43AE0C"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es-ES_tradnl"/>
              </w:rPr>
              <w:t>Farmacisti</w:t>
            </w:r>
          </w:p>
          <w:p w14:paraId="3E78B7C9"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Personale Infermieristico e/o Tecnici di laboratorio medico</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382F610D" w14:textId="77777777" w:rsidR="009553C0" w:rsidRPr="00955A9B" w:rsidRDefault="00955F8C"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es-ES_tradnl"/>
              </w:rPr>
              <w:t xml:space="preserve">UO </w:t>
            </w:r>
            <w:r w:rsidR="009553C0" w:rsidRPr="00955A9B">
              <w:rPr>
                <w:rFonts w:ascii="Times New Roman" w:eastAsia="Arial Unicode MS" w:hAnsi="Times New Roman" w:cs="Times New Roman"/>
                <w:szCs w:val="24"/>
                <w:bdr w:val="none" w:sz="0" w:space="0" w:color="auto" w:frame="1"/>
                <w:lang w:val="es-ES_tradnl"/>
              </w:rPr>
              <w:t>Farmacia</w:t>
            </w:r>
          </w:p>
          <w:p w14:paraId="0CAB110F" w14:textId="77777777" w:rsidR="009553C0" w:rsidRPr="00955A9B" w:rsidRDefault="009553C0"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Unit</w:t>
            </w:r>
            <w:r w:rsidRPr="00955A9B">
              <w:rPr>
                <w:rFonts w:ascii="Times New Roman" w:eastAsia="Arial Unicode MS" w:hAnsi="Times New Roman" w:cs="Times New Roman"/>
                <w:szCs w:val="24"/>
                <w:bdr w:val="none" w:sz="0" w:space="0" w:color="auto" w:frame="1"/>
                <w:lang w:val="fr-FR"/>
              </w:rPr>
              <w:t xml:space="preserve">à </w:t>
            </w:r>
            <w:r w:rsidRPr="00955A9B">
              <w:rPr>
                <w:rFonts w:ascii="Times New Roman" w:eastAsia="Arial Unicode MS" w:hAnsi="Times New Roman" w:cs="Times New Roman"/>
                <w:szCs w:val="24"/>
                <w:bdr w:val="none" w:sz="0" w:space="0" w:color="auto" w:frame="1"/>
              </w:rPr>
              <w:t>di Manipolazione di Chemioterapici Antineoplastici (UMACA/UFA)</w:t>
            </w:r>
          </w:p>
        </w:tc>
      </w:tr>
      <w:bookmarkEnd w:id="1"/>
    </w:tbl>
    <w:p w14:paraId="141FBC01" w14:textId="77777777" w:rsidR="00B11033" w:rsidRPr="00955A9B" w:rsidRDefault="00B11033" w:rsidP="00955A9B">
      <w:pPr>
        <w:spacing w:line="360" w:lineRule="auto"/>
        <w:ind w:left="120" w:right="40"/>
        <w:jc w:val="both"/>
        <w:rPr>
          <w:rFonts w:ascii="Times New Roman" w:eastAsia="Times New Roman" w:hAnsi="Times New Roman" w:cs="Times New Roman"/>
          <w:sz w:val="24"/>
          <w:szCs w:val="24"/>
        </w:rPr>
      </w:pPr>
    </w:p>
    <w:p w14:paraId="2C3706C1" w14:textId="77777777" w:rsidR="00EA11C4" w:rsidRPr="00955A9B" w:rsidRDefault="00EA11C4" w:rsidP="00955A9B">
      <w:pPr>
        <w:autoSpaceDE w:val="0"/>
        <w:autoSpaceDN w:val="0"/>
        <w:adjustRightInd w:val="0"/>
        <w:spacing w:before="100" w:after="100" w:line="360" w:lineRule="auto"/>
        <w:jc w:val="center"/>
        <w:rPr>
          <w:rFonts w:ascii="Times New Roman" w:hAnsi="Times New Roman" w:cs="Times New Roman"/>
          <w:b/>
          <w:bCs/>
          <w:sz w:val="24"/>
          <w:szCs w:val="24"/>
        </w:rPr>
      </w:pPr>
      <w:r w:rsidRPr="00955A9B">
        <w:rPr>
          <w:rFonts w:ascii="Times New Roman" w:hAnsi="Times New Roman" w:cs="Times New Roman"/>
          <w:b/>
          <w:bCs/>
          <w:sz w:val="24"/>
          <w:szCs w:val="24"/>
        </w:rPr>
        <w:lastRenderedPageBreak/>
        <w:t>TUMORE DELLO STOMACO</w:t>
      </w:r>
    </w:p>
    <w:p w14:paraId="7D070BC4" w14:textId="77777777" w:rsidR="00EA11C4" w:rsidRPr="00955A9B" w:rsidRDefault="00EA11C4" w:rsidP="00955A9B">
      <w:pPr>
        <w:autoSpaceDE w:val="0"/>
        <w:autoSpaceDN w:val="0"/>
        <w:adjustRightInd w:val="0"/>
        <w:spacing w:before="100" w:after="100" w:line="360" w:lineRule="auto"/>
        <w:jc w:val="both"/>
        <w:rPr>
          <w:rFonts w:ascii="Times New Roman" w:hAnsi="Times New Roman" w:cs="Times New Roman"/>
          <w:b/>
          <w:bCs/>
          <w:sz w:val="24"/>
          <w:szCs w:val="24"/>
        </w:rPr>
      </w:pPr>
      <w:r w:rsidRPr="00955A9B">
        <w:rPr>
          <w:rFonts w:ascii="Times New Roman" w:hAnsi="Times New Roman" w:cs="Times New Roman"/>
          <w:b/>
          <w:bCs/>
          <w:sz w:val="24"/>
          <w:szCs w:val="24"/>
        </w:rPr>
        <w:t>Brevi note epidemiologiche</w:t>
      </w:r>
    </w:p>
    <w:p w14:paraId="566CABA9" w14:textId="77777777" w:rsidR="00EA11C4" w:rsidRPr="00955A9B" w:rsidRDefault="00EA11C4" w:rsidP="00955A9B">
      <w:pPr>
        <w:autoSpaceDE w:val="0"/>
        <w:autoSpaceDN w:val="0"/>
        <w:adjustRightInd w:val="0"/>
        <w:spacing w:before="100" w:after="100" w:line="360" w:lineRule="auto"/>
        <w:jc w:val="both"/>
        <w:rPr>
          <w:rFonts w:ascii="Times New Roman" w:hAnsi="Times New Roman" w:cs="Times New Roman"/>
          <w:b/>
          <w:bCs/>
          <w:sz w:val="24"/>
          <w:szCs w:val="24"/>
        </w:rPr>
      </w:pPr>
      <w:r w:rsidRPr="00955A9B">
        <w:rPr>
          <w:rFonts w:ascii="Times New Roman" w:hAnsi="Times New Roman" w:cs="Times New Roman"/>
          <w:b/>
          <w:bCs/>
          <w:sz w:val="24"/>
          <w:szCs w:val="24"/>
        </w:rPr>
        <w:t>Fattori di rischio</w:t>
      </w:r>
      <w:r w:rsidRPr="00955A9B">
        <w:rPr>
          <w:rFonts w:ascii="Times New Roman" w:hAnsi="Times New Roman" w:cs="Times New Roman"/>
          <w:b/>
          <w:bCs/>
          <w:sz w:val="24"/>
          <w:szCs w:val="24"/>
          <w:vertAlign w:val="superscript"/>
        </w:rPr>
        <w:footnoteReference w:id="1"/>
      </w:r>
    </w:p>
    <w:p w14:paraId="35275AE2" w14:textId="30C29A37" w:rsidR="00565104" w:rsidRPr="00955A9B" w:rsidRDefault="00565104"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Il tumore dello stomaco è considerato, dal punto di vista eziopatogenetico, una malattia multifattoriale legata all’interazione tra fattori ambientali e genetici, con una presentazione sporadica in oltre il 90% dei casi (</w:t>
      </w:r>
      <w:r w:rsidR="008F4411" w:rsidRPr="00955A9B">
        <w:rPr>
          <w:rFonts w:ascii="Times New Roman" w:eastAsia="MinionPro-Regular" w:hAnsi="Times New Roman" w:cs="Times New Roman"/>
          <w:sz w:val="24"/>
          <w:szCs w:val="24"/>
        </w:rPr>
        <w:t>le forme ereditarie note sono responsabili solo del 1-5% dei casi di carcinoma gastrico).</w:t>
      </w:r>
    </w:p>
    <w:p w14:paraId="220268A2" w14:textId="6C1627A3"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 xml:space="preserve">I tumori dello stomaco possono essere divisi </w:t>
      </w:r>
      <w:r w:rsidR="008F4411" w:rsidRPr="00955A9B">
        <w:rPr>
          <w:rFonts w:ascii="Times New Roman" w:eastAsia="MinionPro-Regular" w:hAnsi="Times New Roman" w:cs="Times New Roman"/>
          <w:sz w:val="24"/>
          <w:szCs w:val="24"/>
        </w:rPr>
        <w:t>anatomicamente</w:t>
      </w:r>
      <w:r w:rsidRPr="00955A9B">
        <w:rPr>
          <w:rFonts w:ascii="Times New Roman" w:eastAsia="MinionPro-Regular" w:hAnsi="Times New Roman" w:cs="Times New Roman"/>
          <w:sz w:val="24"/>
          <w:szCs w:val="24"/>
        </w:rPr>
        <w:t xml:space="preserve"> in due </w:t>
      </w:r>
      <w:r w:rsidR="001F6F3D">
        <w:rPr>
          <w:rFonts w:ascii="Times New Roman" w:eastAsia="MinionPro-Regular" w:hAnsi="Times New Roman" w:cs="Times New Roman"/>
          <w:sz w:val="24"/>
          <w:szCs w:val="24"/>
        </w:rPr>
        <w:t>c</w:t>
      </w:r>
      <w:r w:rsidRPr="00955A9B">
        <w:rPr>
          <w:rFonts w:ascii="Times New Roman" w:eastAsia="MinionPro-Regular" w:hAnsi="Times New Roman" w:cs="Times New Roman"/>
          <w:sz w:val="24"/>
          <w:szCs w:val="24"/>
        </w:rPr>
        <w:t>ategorie: tumori del cardias</w:t>
      </w:r>
      <w:r w:rsidR="008F4411" w:rsidRPr="00955A9B">
        <w:rPr>
          <w:rFonts w:ascii="Times New Roman" w:eastAsia="MinionPro-Regular" w:hAnsi="Times New Roman" w:cs="Times New Roman"/>
          <w:sz w:val="24"/>
          <w:szCs w:val="24"/>
        </w:rPr>
        <w:t xml:space="preserve"> (giunzione gastro-esofagea)</w:t>
      </w:r>
      <w:r w:rsidRPr="00955A9B">
        <w:rPr>
          <w:rFonts w:ascii="Times New Roman" w:eastAsia="MinionPro-Regular" w:hAnsi="Times New Roman" w:cs="Times New Roman"/>
          <w:sz w:val="24"/>
          <w:szCs w:val="24"/>
        </w:rPr>
        <w:t xml:space="preserve"> e tumori dello stomaco propriamente detto</w:t>
      </w:r>
      <w:r w:rsidR="008F4411" w:rsidRPr="00955A9B">
        <w:rPr>
          <w:rFonts w:ascii="Times New Roman" w:eastAsia="MinionPro-Regular" w:hAnsi="Times New Roman" w:cs="Times New Roman"/>
          <w:sz w:val="24"/>
          <w:szCs w:val="24"/>
        </w:rPr>
        <w:t xml:space="preserve"> (forme “distali”)</w:t>
      </w:r>
      <w:r w:rsidRPr="00955A9B">
        <w:rPr>
          <w:rFonts w:ascii="Times New Roman" w:eastAsia="MinionPro-Regular" w:hAnsi="Times New Roman" w:cs="Times New Roman"/>
          <w:sz w:val="24"/>
          <w:szCs w:val="24"/>
        </w:rPr>
        <w:t xml:space="preserve">. Nell’ultimo decennio si è registrato un decremento di incidenza del cancro gastrico distale con un </w:t>
      </w:r>
      <w:r w:rsidR="00F83BE8" w:rsidRPr="00955A9B">
        <w:rPr>
          <w:rFonts w:ascii="Times New Roman" w:eastAsia="MinionPro-Regular" w:hAnsi="Times New Roman" w:cs="Times New Roman"/>
          <w:sz w:val="24"/>
          <w:szCs w:val="24"/>
        </w:rPr>
        <w:t>parallelo relativo</w:t>
      </w:r>
      <w:r w:rsidRPr="00955A9B">
        <w:rPr>
          <w:rFonts w:ascii="Times New Roman" w:eastAsia="MinionPro-Regular" w:hAnsi="Times New Roman" w:cs="Times New Roman"/>
          <w:sz w:val="24"/>
          <w:szCs w:val="24"/>
        </w:rPr>
        <w:t xml:space="preserve"> incremento delle neoplasie originate dal cardias e dalla giunzione gastroesofagea, che rappresentano attualmente circa il 40% di tutti i tumori dello stomaco. I dati epidemiologici e </w:t>
      </w:r>
      <w:r w:rsidR="00F83BE8" w:rsidRPr="00955A9B">
        <w:rPr>
          <w:rFonts w:ascii="Times New Roman" w:eastAsia="MinionPro-Regular" w:hAnsi="Times New Roman" w:cs="Times New Roman"/>
          <w:sz w:val="24"/>
          <w:szCs w:val="24"/>
        </w:rPr>
        <w:t>molecolari</w:t>
      </w:r>
      <w:r w:rsidRPr="00955A9B">
        <w:rPr>
          <w:rFonts w:ascii="Times New Roman" w:eastAsia="MinionPro-Regular" w:hAnsi="Times New Roman" w:cs="Times New Roman"/>
          <w:sz w:val="24"/>
          <w:szCs w:val="24"/>
        </w:rPr>
        <w:t xml:space="preserve">, tuttavia, evidenziano che la maggior parte degli adenocarcinomi della giunzione gastro-esofagea presenta elementi che li </w:t>
      </w:r>
      <w:r w:rsidR="00F83BE8" w:rsidRPr="00955A9B">
        <w:rPr>
          <w:rFonts w:ascii="Times New Roman" w:eastAsia="MinionPro-Regular" w:hAnsi="Times New Roman" w:cs="Times New Roman"/>
          <w:sz w:val="24"/>
          <w:szCs w:val="24"/>
        </w:rPr>
        <w:t>accomunano</w:t>
      </w:r>
      <w:r w:rsidRPr="00955A9B">
        <w:rPr>
          <w:rFonts w:ascii="Times New Roman" w:eastAsia="MinionPro-Regular" w:hAnsi="Times New Roman" w:cs="Times New Roman"/>
          <w:sz w:val="24"/>
          <w:szCs w:val="24"/>
        </w:rPr>
        <w:t xml:space="preserve"> più all’adenocarcinoma </w:t>
      </w:r>
      <w:r w:rsidR="00F83BE8" w:rsidRPr="00955A9B">
        <w:rPr>
          <w:rFonts w:ascii="Times New Roman" w:eastAsia="MinionPro-Regular" w:hAnsi="Times New Roman" w:cs="Times New Roman"/>
          <w:sz w:val="24"/>
          <w:szCs w:val="24"/>
        </w:rPr>
        <w:t>esofageo</w:t>
      </w:r>
      <w:r w:rsidRPr="00955A9B">
        <w:rPr>
          <w:rFonts w:ascii="Times New Roman" w:eastAsia="MinionPro-Regular" w:hAnsi="Times New Roman" w:cs="Times New Roman"/>
          <w:sz w:val="24"/>
          <w:szCs w:val="24"/>
        </w:rPr>
        <w:t xml:space="preserve"> che non a quello gastrico.</w:t>
      </w:r>
    </w:p>
    <w:p w14:paraId="5174DA74" w14:textId="18C8CCF7"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 xml:space="preserve">L’infezione </w:t>
      </w:r>
      <w:r w:rsidR="00F83BE8" w:rsidRPr="00955A9B">
        <w:rPr>
          <w:rFonts w:ascii="Times New Roman" w:eastAsia="MinionPro-Regular" w:hAnsi="Times New Roman" w:cs="Times New Roman"/>
          <w:sz w:val="24"/>
          <w:szCs w:val="24"/>
        </w:rPr>
        <w:t xml:space="preserve">cronica </w:t>
      </w:r>
      <w:r w:rsidRPr="00955A9B">
        <w:rPr>
          <w:rFonts w:ascii="Times New Roman" w:eastAsia="MinionPro-Regular" w:hAnsi="Times New Roman" w:cs="Times New Roman"/>
          <w:sz w:val="24"/>
          <w:szCs w:val="24"/>
        </w:rPr>
        <w:t xml:space="preserve">da </w:t>
      </w:r>
      <w:r w:rsidRPr="00955A9B">
        <w:rPr>
          <w:rFonts w:ascii="Times New Roman" w:eastAsia="MinionPro-It" w:hAnsi="Times New Roman" w:cs="Times New Roman"/>
          <w:i/>
          <w:iCs/>
          <w:sz w:val="24"/>
          <w:szCs w:val="24"/>
        </w:rPr>
        <w:t xml:space="preserve">Helicobacter pylori </w:t>
      </w:r>
      <w:r w:rsidRPr="00955A9B">
        <w:rPr>
          <w:rFonts w:ascii="Times New Roman" w:eastAsia="MinionPro-Regular" w:hAnsi="Times New Roman" w:cs="Times New Roman"/>
          <w:sz w:val="24"/>
          <w:szCs w:val="24"/>
        </w:rPr>
        <w:t>(HP) rappresenta il principale fattore di rischio</w:t>
      </w:r>
      <w:r w:rsidR="004B2737" w:rsidRPr="00955A9B">
        <w:rPr>
          <w:rFonts w:ascii="Times New Roman" w:eastAsia="MinionPro-Regular" w:hAnsi="Times New Roman" w:cs="Times New Roman"/>
          <w:sz w:val="24"/>
          <w:szCs w:val="24"/>
        </w:rPr>
        <w:t xml:space="preserve"> per le forme non cardiali</w:t>
      </w:r>
      <w:r w:rsidRPr="00955A9B">
        <w:rPr>
          <w:rFonts w:ascii="Times New Roman" w:eastAsia="MinionPro-Regular" w:hAnsi="Times New Roman" w:cs="Times New Roman"/>
          <w:sz w:val="24"/>
          <w:szCs w:val="24"/>
        </w:rPr>
        <w:t xml:space="preserve">, soprattutto per i carcinomi di tipo intestinale dell’antro gastrico. Concorrono, con effetti interattivi, l’abitudine al fumo, le abitudini alimentari e la storia familiare; il basso consumo di verdura e frutta e l’alto consumo di carni rosse, di cibi conservati con sale, nitrati e affumicatura sono associati ad un aumento del rischio. La gastrite cronica indotta da HP o da altre cause (compreso il reflusso biliare) induce condizioni di “stress ossidativo” con produzione di ossidi di azoto e calo della concentrazione dei fattori antiossidanti. In presenza di gastrite è inoltre </w:t>
      </w:r>
      <w:r w:rsidR="004B2737" w:rsidRPr="00955A9B">
        <w:rPr>
          <w:rFonts w:ascii="Times New Roman" w:eastAsia="MinionPro-Regular" w:hAnsi="Times New Roman" w:cs="Times New Roman"/>
          <w:sz w:val="24"/>
          <w:szCs w:val="24"/>
        </w:rPr>
        <w:t>incrementata</w:t>
      </w:r>
      <w:r w:rsidRPr="00955A9B">
        <w:rPr>
          <w:rFonts w:ascii="Times New Roman" w:eastAsia="MinionPro-Regular" w:hAnsi="Times New Roman" w:cs="Times New Roman"/>
          <w:sz w:val="24"/>
          <w:szCs w:val="24"/>
        </w:rPr>
        <w:t xml:space="preserve"> l’attività proliferativa ghiandolare, che costituisce una condizione di rischio per lo sviluppo di displasia, fortemente stimolata anche dal rilascio di ioni ammonio attraverso la potente azione ureasica dell’HP. </w:t>
      </w:r>
      <w:r w:rsidR="004B2737" w:rsidRPr="00955A9B">
        <w:rPr>
          <w:rFonts w:ascii="Times New Roman" w:eastAsia="MinionPro-Regular" w:hAnsi="Times New Roman" w:cs="Times New Roman"/>
          <w:sz w:val="24"/>
          <w:szCs w:val="24"/>
        </w:rPr>
        <w:t>Come già introdotto, l</w:t>
      </w:r>
      <w:r w:rsidRPr="00955A9B">
        <w:rPr>
          <w:rFonts w:ascii="Times New Roman" w:eastAsia="MinionPro-Regular" w:hAnsi="Times New Roman" w:cs="Times New Roman"/>
          <w:sz w:val="24"/>
          <w:szCs w:val="24"/>
        </w:rPr>
        <w:t xml:space="preserve">a maggior parte dei carcinomi gastrici è costituita da forme sporadiche: solo </w:t>
      </w:r>
      <w:r w:rsidR="004B2737" w:rsidRPr="00955A9B">
        <w:rPr>
          <w:rFonts w:ascii="Times New Roman" w:eastAsia="MinionPro-Regular" w:hAnsi="Times New Roman" w:cs="Times New Roman"/>
          <w:sz w:val="24"/>
          <w:szCs w:val="24"/>
        </w:rPr>
        <w:t>l’1-5%</w:t>
      </w:r>
      <w:r w:rsidRPr="00955A9B">
        <w:rPr>
          <w:rFonts w:ascii="Times New Roman" w:eastAsia="MinionPro-Regular" w:hAnsi="Times New Roman" w:cs="Times New Roman"/>
          <w:sz w:val="24"/>
          <w:szCs w:val="24"/>
        </w:rPr>
        <w:t xml:space="preserve"> dei casi </w:t>
      </w:r>
      <w:r w:rsidR="00385BA0" w:rsidRPr="00955A9B">
        <w:rPr>
          <w:rFonts w:ascii="Times New Roman" w:eastAsia="MinionPro-Regular" w:hAnsi="Times New Roman" w:cs="Times New Roman"/>
          <w:sz w:val="24"/>
          <w:szCs w:val="24"/>
        </w:rPr>
        <w:t>é</w:t>
      </w:r>
      <w:r w:rsidRPr="00955A9B">
        <w:rPr>
          <w:rFonts w:ascii="Times New Roman" w:eastAsia="MinionPro-Regular" w:hAnsi="Times New Roman" w:cs="Times New Roman"/>
          <w:sz w:val="24"/>
          <w:szCs w:val="24"/>
        </w:rPr>
        <w:t xml:space="preserve"> ascrivibile a forme</w:t>
      </w:r>
      <w:r w:rsidR="00385BA0" w:rsidRPr="00955A9B">
        <w:rPr>
          <w:rFonts w:ascii="Times New Roman" w:eastAsia="MinionPro-Regular" w:hAnsi="Times New Roman" w:cs="Times New Roman"/>
          <w:sz w:val="24"/>
          <w:szCs w:val="24"/>
        </w:rPr>
        <w:t xml:space="preserve"> ereditarie di cui sono descritte le specifiche mutazioni patogenetiche</w:t>
      </w:r>
      <w:r w:rsidRPr="00955A9B">
        <w:rPr>
          <w:rFonts w:ascii="Times New Roman" w:eastAsia="MinionPro-Regular" w:hAnsi="Times New Roman" w:cs="Times New Roman"/>
          <w:sz w:val="24"/>
          <w:szCs w:val="24"/>
        </w:rPr>
        <w:t xml:space="preserve">.  Queste includono la poliposi adenomatosa familiare (FAP), la sindrome di Lynch, la sindrome di Li-Fraumeni ed alcune </w:t>
      </w:r>
      <w:r w:rsidR="00B93008" w:rsidRPr="00955A9B">
        <w:rPr>
          <w:rFonts w:ascii="Times New Roman" w:eastAsia="MinionPro-Regular" w:hAnsi="Times New Roman" w:cs="Times New Roman"/>
          <w:sz w:val="24"/>
          <w:szCs w:val="24"/>
        </w:rPr>
        <w:t>varianti</w:t>
      </w:r>
      <w:r w:rsidRPr="00955A9B">
        <w:rPr>
          <w:rFonts w:ascii="Times New Roman" w:eastAsia="MinionPro-Regular" w:hAnsi="Times New Roman" w:cs="Times New Roman"/>
          <w:sz w:val="24"/>
          <w:szCs w:val="24"/>
        </w:rPr>
        <w:t xml:space="preserve"> della sindrome di Peutz-Jeghers. Più recentemente </w:t>
      </w:r>
      <w:r w:rsidR="00B93008" w:rsidRPr="00955A9B">
        <w:rPr>
          <w:rFonts w:ascii="Times New Roman" w:eastAsia="MinionPro-Regular" w:hAnsi="Times New Roman" w:cs="Times New Roman"/>
          <w:sz w:val="24"/>
          <w:szCs w:val="24"/>
        </w:rPr>
        <w:t>è stata identificata</w:t>
      </w:r>
      <w:r w:rsidRPr="00955A9B">
        <w:rPr>
          <w:rFonts w:ascii="Times New Roman" w:eastAsia="MinionPro-Regular" w:hAnsi="Times New Roman" w:cs="Times New Roman"/>
          <w:sz w:val="24"/>
          <w:szCs w:val="24"/>
        </w:rPr>
        <w:t xml:space="preserve"> una forma di cancro gastrico ereditario diffuso (HDGC) caratterizzata dalla presenza di carcinoma </w:t>
      </w:r>
      <w:r w:rsidR="003638B2">
        <w:rPr>
          <w:rFonts w:ascii="Times New Roman" w:eastAsia="MinionPro-Regular" w:hAnsi="Times New Roman" w:cs="Times New Roman"/>
          <w:sz w:val="24"/>
          <w:szCs w:val="24"/>
        </w:rPr>
        <w:t xml:space="preserve">con istologia </w:t>
      </w:r>
      <w:r w:rsidRPr="00955A9B">
        <w:rPr>
          <w:rFonts w:ascii="Times New Roman" w:eastAsia="MinionPro-Regular" w:hAnsi="Times New Roman" w:cs="Times New Roman"/>
          <w:sz w:val="24"/>
          <w:szCs w:val="24"/>
        </w:rPr>
        <w:t xml:space="preserve">di tipo “diffuso” </w:t>
      </w:r>
      <w:r w:rsidR="003638B2">
        <w:rPr>
          <w:rFonts w:ascii="Times New Roman" w:eastAsia="MinionPro-Regular" w:hAnsi="Times New Roman" w:cs="Times New Roman"/>
          <w:sz w:val="24"/>
          <w:szCs w:val="24"/>
        </w:rPr>
        <w:t xml:space="preserve">(sec. Lauren) </w:t>
      </w:r>
      <w:r w:rsidRPr="00955A9B">
        <w:rPr>
          <w:rFonts w:ascii="Times New Roman" w:eastAsia="MinionPro-Regular" w:hAnsi="Times New Roman" w:cs="Times New Roman"/>
          <w:sz w:val="24"/>
          <w:szCs w:val="24"/>
        </w:rPr>
        <w:t>in consanguinei di I e II grado</w:t>
      </w:r>
      <w:r w:rsidR="00B93008" w:rsidRPr="00955A9B">
        <w:rPr>
          <w:rFonts w:ascii="Times New Roman" w:eastAsia="MinionPro-Regular" w:hAnsi="Times New Roman" w:cs="Times New Roman"/>
          <w:sz w:val="24"/>
          <w:szCs w:val="24"/>
        </w:rPr>
        <w:t xml:space="preserve">, con un’età media alla diagnosi di circa 38 anni, </w:t>
      </w:r>
      <w:r w:rsidRPr="00955A9B">
        <w:rPr>
          <w:rFonts w:ascii="Times New Roman" w:eastAsia="MinionPro-Regular" w:hAnsi="Times New Roman" w:cs="Times New Roman"/>
          <w:sz w:val="24"/>
          <w:szCs w:val="24"/>
        </w:rPr>
        <w:t>e dall’associazione, nelle donne, con il carcinoma mammario di tipo lobulare.</w:t>
      </w:r>
    </w:p>
    <w:p w14:paraId="0AED788C" w14:textId="6256A9BE"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lastRenderedPageBreak/>
        <w:t xml:space="preserve">Il principale fattore di rischio per le neoplasie cardiali è invece rappresentato dalla malattia da reflusso gastro-esofageo (MRGE). La MRGE determina un’infiammazione cronica della mucosa esofagea distale e del cardias, attraverso la persistente </w:t>
      </w:r>
      <w:r w:rsidR="000B7F56" w:rsidRPr="00955A9B">
        <w:rPr>
          <w:rFonts w:ascii="Times New Roman" w:eastAsia="MinionPro-Regular" w:hAnsi="Times New Roman" w:cs="Times New Roman"/>
          <w:sz w:val="24"/>
          <w:szCs w:val="24"/>
        </w:rPr>
        <w:t xml:space="preserve">e anomala </w:t>
      </w:r>
      <w:r w:rsidRPr="00955A9B">
        <w:rPr>
          <w:rFonts w:ascii="Times New Roman" w:eastAsia="MinionPro-Regular" w:hAnsi="Times New Roman" w:cs="Times New Roman"/>
          <w:sz w:val="24"/>
          <w:szCs w:val="24"/>
        </w:rPr>
        <w:t>esposizione di queste regioni agli acidi gastrici, favorendo l’insorgenza dell’esofago di Barrett, caratterizzato da metaplasia colonnare</w:t>
      </w:r>
      <w:r w:rsidR="002961EA" w:rsidRPr="00955A9B">
        <w:rPr>
          <w:rFonts w:ascii="Times New Roman" w:eastAsia="MinionPro-Regular" w:hAnsi="Times New Roman" w:cs="Times New Roman"/>
          <w:sz w:val="24"/>
          <w:szCs w:val="24"/>
        </w:rPr>
        <w:t xml:space="preserve"> mucipara</w:t>
      </w:r>
      <w:r w:rsidRPr="00955A9B">
        <w:rPr>
          <w:rFonts w:ascii="Times New Roman" w:eastAsia="MinionPro-Regular" w:hAnsi="Times New Roman" w:cs="Times New Roman"/>
          <w:sz w:val="24"/>
          <w:szCs w:val="24"/>
        </w:rPr>
        <w:t>.</w:t>
      </w:r>
      <w:r w:rsidR="006931E6" w:rsidRPr="00955A9B">
        <w:rPr>
          <w:rFonts w:ascii="Times New Roman" w:eastAsia="MinionPro-Regular" w:hAnsi="Times New Roman" w:cs="Times New Roman"/>
          <w:sz w:val="24"/>
          <w:szCs w:val="24"/>
        </w:rPr>
        <w:t xml:space="preserve"> La continua esposizione all’ambiente acido determina nel tempo l’evoluzione di questa condizione di metaplasia verso una displasia, a tutti gli effetti condizione precancerosa</w:t>
      </w:r>
      <w:r w:rsidR="00887595" w:rsidRPr="00955A9B">
        <w:rPr>
          <w:rFonts w:ascii="Times New Roman" w:eastAsia="MinionPro-Regular" w:hAnsi="Times New Roman" w:cs="Times New Roman"/>
          <w:sz w:val="24"/>
          <w:szCs w:val="24"/>
        </w:rPr>
        <w:t xml:space="preserve"> (rischio</w:t>
      </w:r>
      <w:r w:rsidR="009969CD" w:rsidRPr="00955A9B">
        <w:rPr>
          <w:rFonts w:ascii="Times New Roman" w:eastAsia="MinionPro-Regular" w:hAnsi="Times New Roman" w:cs="Times New Roman"/>
          <w:sz w:val="24"/>
          <w:szCs w:val="24"/>
        </w:rPr>
        <w:t xml:space="preserve"> stimato</w:t>
      </w:r>
      <w:r w:rsidR="00887595" w:rsidRPr="00955A9B">
        <w:rPr>
          <w:rFonts w:ascii="Times New Roman" w:eastAsia="MinionPro-Regular" w:hAnsi="Times New Roman" w:cs="Times New Roman"/>
          <w:sz w:val="24"/>
          <w:szCs w:val="24"/>
        </w:rPr>
        <w:t xml:space="preserve"> 30-40 volte superiore di sviluppare un adenocarcinoma).</w:t>
      </w:r>
      <w:r w:rsidRPr="00955A9B">
        <w:rPr>
          <w:rFonts w:ascii="Times New Roman" w:eastAsia="MinionPro-Regular" w:hAnsi="Times New Roman" w:cs="Times New Roman"/>
          <w:sz w:val="24"/>
          <w:szCs w:val="24"/>
        </w:rPr>
        <w:t xml:space="preserve"> Altri fattori di rischio noti sono l’obesità, probabilmente per l’elevata incidenza di reflusso gastro-esofageo riscontrata nei soggetti obesi, </w:t>
      </w:r>
      <w:r w:rsidR="00275124" w:rsidRPr="00955A9B">
        <w:rPr>
          <w:rFonts w:ascii="Times New Roman" w:eastAsia="MinionPro-Regular" w:hAnsi="Times New Roman" w:cs="Times New Roman"/>
          <w:sz w:val="24"/>
          <w:szCs w:val="24"/>
        </w:rPr>
        <w:t xml:space="preserve">l’ernia iatale </w:t>
      </w:r>
      <w:r w:rsidRPr="00955A9B">
        <w:rPr>
          <w:rFonts w:ascii="Times New Roman" w:eastAsia="MinionPro-Regular" w:hAnsi="Times New Roman" w:cs="Times New Roman"/>
          <w:sz w:val="24"/>
          <w:szCs w:val="24"/>
        </w:rPr>
        <w:t>e una dieta povera di fibre e ricca di carni rosse, cibi conservati sotto sale o molto caldi. Al contrario, una dieta ricca in frutta e verdure, vitamine A, C, E, oligoelementi quali beta-carotene, selenio e fibre potrebbe avere un ruolo protettivo.</w:t>
      </w:r>
    </w:p>
    <w:p w14:paraId="5336559F" w14:textId="77777777"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p>
    <w:p w14:paraId="667F8888" w14:textId="77777777"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r w:rsidRPr="00955A9B">
        <w:rPr>
          <w:rFonts w:ascii="Times New Roman" w:eastAsia="MinionPro-Regular" w:hAnsi="Times New Roman" w:cs="Times New Roman"/>
          <w:b/>
          <w:bCs/>
          <w:sz w:val="24"/>
          <w:szCs w:val="24"/>
        </w:rPr>
        <w:t>Incidenza</w:t>
      </w:r>
    </w:p>
    <w:p w14:paraId="49B1F5CD" w14:textId="3B88EECB" w:rsidR="00F9594D" w:rsidRDefault="005A2B27" w:rsidP="00F9594D">
      <w:pPr>
        <w:autoSpaceDE w:val="0"/>
        <w:autoSpaceDN w:val="0"/>
        <w:adjustRightInd w:val="0"/>
        <w:spacing w:after="0" w:line="360" w:lineRule="auto"/>
        <w:jc w:val="both"/>
        <w:rPr>
          <w:sz w:val="23"/>
          <w:szCs w:val="23"/>
        </w:rPr>
      </w:pPr>
      <w:r w:rsidRPr="00AD41B3">
        <w:rPr>
          <w:rFonts w:ascii="Times New Roman" w:hAnsi="Times New Roman" w:cs="Times New Roman"/>
          <w:sz w:val="24"/>
          <w:szCs w:val="24"/>
        </w:rPr>
        <w:t>La stima al 2020 dei nuovi casi di tumori dello stomaco in Europa</w:t>
      </w:r>
      <w:r>
        <w:rPr>
          <w:rStyle w:val="Rimandonotaapidipagina"/>
          <w:rFonts w:ascii="Times New Roman" w:hAnsi="Times New Roman" w:cs="Times New Roman"/>
          <w:sz w:val="24"/>
          <w:szCs w:val="24"/>
        </w:rPr>
        <w:footnoteReference w:id="2"/>
      </w:r>
      <w:r>
        <w:rPr>
          <w:rFonts w:ascii="Times New Roman" w:hAnsi="Times New Roman" w:cs="Times New Roman"/>
          <w:sz w:val="24"/>
          <w:szCs w:val="24"/>
        </w:rPr>
        <w:t xml:space="preserve"> </w:t>
      </w:r>
      <w:r w:rsidRPr="00AD41B3">
        <w:rPr>
          <w:rFonts w:ascii="Times New Roman" w:hAnsi="Times New Roman" w:cs="Times New Roman"/>
          <w:sz w:val="24"/>
          <w:szCs w:val="24"/>
        </w:rPr>
        <w:t xml:space="preserve">è di un ASR di 26.4 per 100.000 nei maschi e 12.2 per 100.000 nelle donne con un numero di casi atteso di 136.038 (83.716 uomini e 52.322 donne). </w:t>
      </w:r>
      <w:r w:rsidR="00F9594D" w:rsidRPr="00AD41B3">
        <w:rPr>
          <w:rFonts w:ascii="Times New Roman" w:hAnsi="Times New Roman" w:cs="Times New Roman"/>
          <w:sz w:val="24"/>
          <w:szCs w:val="24"/>
        </w:rPr>
        <w:t>In Italia</w:t>
      </w:r>
      <w:r w:rsidR="00F9594D">
        <w:rPr>
          <w:rFonts w:ascii="Times New Roman" w:hAnsi="Times New Roman" w:cs="Times New Roman"/>
          <w:sz w:val="24"/>
          <w:szCs w:val="24"/>
        </w:rPr>
        <w:t>,</w:t>
      </w:r>
      <w:r w:rsidR="00F9594D" w:rsidRPr="00AD41B3">
        <w:rPr>
          <w:rFonts w:ascii="Times New Roman" w:hAnsi="Times New Roman" w:cs="Times New Roman"/>
          <w:sz w:val="24"/>
          <w:szCs w:val="24"/>
        </w:rPr>
        <w:t xml:space="preserve"> </w:t>
      </w:r>
      <w:r w:rsidR="00F9594D">
        <w:rPr>
          <w:rFonts w:ascii="Times New Roman" w:hAnsi="Times New Roman" w:cs="Times New Roman"/>
          <w:sz w:val="24"/>
          <w:szCs w:val="24"/>
        </w:rPr>
        <w:t>per il</w:t>
      </w:r>
      <w:r w:rsidR="00F9594D" w:rsidRPr="00AD41B3">
        <w:rPr>
          <w:rFonts w:ascii="Times New Roman" w:hAnsi="Times New Roman" w:cs="Times New Roman"/>
          <w:sz w:val="24"/>
          <w:szCs w:val="24"/>
        </w:rPr>
        <w:t xml:space="preserve"> 202</w:t>
      </w:r>
      <w:r w:rsidR="00F9594D">
        <w:rPr>
          <w:rFonts w:ascii="Times New Roman" w:hAnsi="Times New Roman" w:cs="Times New Roman"/>
          <w:sz w:val="24"/>
          <w:szCs w:val="24"/>
        </w:rPr>
        <w:t>4</w:t>
      </w:r>
      <w:r w:rsidR="00F9594D">
        <w:rPr>
          <w:rFonts w:ascii="Times New Roman" w:hAnsi="Times New Roman" w:cs="Times New Roman"/>
          <w:sz w:val="24"/>
          <w:szCs w:val="24"/>
          <w:vertAlign w:val="superscript"/>
        </w:rPr>
        <w:t>3</w:t>
      </w:r>
      <w:r w:rsidR="00F9594D">
        <w:rPr>
          <w:rFonts w:ascii="Times New Roman" w:hAnsi="Times New Roman" w:cs="Times New Roman"/>
          <w:sz w:val="24"/>
          <w:szCs w:val="24"/>
        </w:rPr>
        <w:t xml:space="preserve">, sono state stimate circa </w:t>
      </w:r>
      <w:r w:rsidR="00F9594D" w:rsidRPr="00863D18">
        <w:rPr>
          <w:rFonts w:ascii="Times New Roman" w:hAnsi="Times New Roman" w:cs="Times New Roman"/>
          <w:sz w:val="24"/>
          <w:szCs w:val="24"/>
        </w:rPr>
        <w:t>14.105</w:t>
      </w:r>
      <w:r w:rsidR="00F9594D">
        <w:rPr>
          <w:rFonts w:ascii="Times New Roman" w:hAnsi="Times New Roman" w:cs="Times New Roman"/>
          <w:sz w:val="24"/>
          <w:szCs w:val="24"/>
        </w:rPr>
        <w:t xml:space="preserve"> nuove diagnosi</w:t>
      </w:r>
      <w:r w:rsidR="00F9594D" w:rsidRPr="00AD41B3">
        <w:rPr>
          <w:rFonts w:ascii="Times New Roman" w:hAnsi="Times New Roman" w:cs="Times New Roman"/>
          <w:sz w:val="24"/>
          <w:szCs w:val="24"/>
        </w:rPr>
        <w:t xml:space="preserve"> (</w:t>
      </w:r>
      <w:r w:rsidR="00F9594D" w:rsidRPr="00863D18">
        <w:rPr>
          <w:rFonts w:ascii="Times New Roman" w:hAnsi="Times New Roman" w:cs="Times New Roman"/>
          <w:sz w:val="24"/>
          <w:szCs w:val="24"/>
        </w:rPr>
        <w:t>8.593</w:t>
      </w:r>
      <w:r w:rsidR="00F9594D">
        <w:rPr>
          <w:rFonts w:ascii="Times New Roman" w:hAnsi="Times New Roman" w:cs="Times New Roman"/>
          <w:sz w:val="24"/>
          <w:szCs w:val="24"/>
        </w:rPr>
        <w:t xml:space="preserve"> </w:t>
      </w:r>
      <w:r w:rsidR="00F9594D" w:rsidRPr="00AD41B3">
        <w:rPr>
          <w:rFonts w:ascii="Times New Roman" w:hAnsi="Times New Roman" w:cs="Times New Roman"/>
          <w:sz w:val="24"/>
          <w:szCs w:val="24"/>
        </w:rPr>
        <w:t xml:space="preserve">uomini e </w:t>
      </w:r>
      <w:r w:rsidR="00F9594D" w:rsidRPr="00863D18">
        <w:rPr>
          <w:rFonts w:ascii="Times New Roman" w:hAnsi="Times New Roman" w:cs="Times New Roman"/>
          <w:sz w:val="24"/>
          <w:szCs w:val="24"/>
        </w:rPr>
        <w:t>5.512</w:t>
      </w:r>
      <w:r w:rsidR="00F9594D">
        <w:rPr>
          <w:rFonts w:ascii="Times New Roman" w:hAnsi="Times New Roman" w:cs="Times New Roman"/>
          <w:sz w:val="24"/>
          <w:szCs w:val="24"/>
        </w:rPr>
        <w:t xml:space="preserve"> </w:t>
      </w:r>
      <w:r w:rsidR="00F9594D" w:rsidRPr="00AD41B3">
        <w:rPr>
          <w:rFonts w:ascii="Times New Roman" w:hAnsi="Times New Roman" w:cs="Times New Roman"/>
          <w:sz w:val="24"/>
          <w:szCs w:val="24"/>
        </w:rPr>
        <w:t>donne)</w:t>
      </w:r>
      <w:r w:rsidR="00F9594D">
        <w:rPr>
          <w:rFonts w:ascii="Times New Roman" w:hAnsi="Times New Roman" w:cs="Times New Roman"/>
          <w:sz w:val="24"/>
          <w:szCs w:val="24"/>
        </w:rPr>
        <w:t>.</w:t>
      </w:r>
      <w:r w:rsidR="00F9594D">
        <w:rPr>
          <w:sz w:val="23"/>
          <w:szCs w:val="23"/>
        </w:rPr>
        <w:t xml:space="preserve"> </w:t>
      </w:r>
    </w:p>
    <w:p w14:paraId="1DED8A3C" w14:textId="09B0E662" w:rsidR="005A2B27" w:rsidRPr="00955A9B" w:rsidRDefault="005A2B27" w:rsidP="005A2B27">
      <w:pPr>
        <w:autoSpaceDE w:val="0"/>
        <w:autoSpaceDN w:val="0"/>
        <w:adjustRightInd w:val="0"/>
        <w:spacing w:after="0" w:line="360" w:lineRule="auto"/>
        <w:jc w:val="both"/>
        <w:rPr>
          <w:rFonts w:ascii="Times New Roman" w:eastAsia="Times New Roman" w:hAnsi="Times New Roman" w:cs="Times New Roman"/>
          <w:spacing w:val="-3"/>
          <w:w w:val="95"/>
          <w:sz w:val="24"/>
          <w:szCs w:val="24"/>
        </w:rPr>
      </w:pPr>
      <w:r>
        <w:rPr>
          <w:rFonts w:ascii="Times New Roman" w:eastAsia="MinionPro-Regular" w:hAnsi="Times New Roman" w:cs="Times New Roman"/>
          <w:sz w:val="24"/>
          <w:szCs w:val="24"/>
        </w:rPr>
        <w:t>La stima</w:t>
      </w:r>
      <w:r w:rsidRPr="00955A9B">
        <w:rPr>
          <w:rFonts w:ascii="Times New Roman" w:eastAsia="MinionPro-Regular" w:hAnsi="Times New Roman" w:cs="Times New Roman"/>
          <w:sz w:val="24"/>
          <w:szCs w:val="24"/>
        </w:rPr>
        <w:t xml:space="preserve"> in Campania</w:t>
      </w:r>
      <w:r w:rsidRPr="005A2B27">
        <w:rPr>
          <w:rStyle w:val="Rimandonotaapidipagina"/>
          <w:rFonts w:ascii="Times New Roman" w:hAnsi="Times New Roman"/>
          <w:sz w:val="24"/>
        </w:rPr>
        <w:footnoteReference w:id="3"/>
      </w:r>
      <w:r>
        <w:rPr>
          <w:rFonts w:ascii="Times New Roman" w:eastAsia="MinionPro-Regular" w:hAnsi="Times New Roman" w:cs="Times New Roman"/>
          <w:sz w:val="24"/>
          <w:szCs w:val="24"/>
        </w:rPr>
        <w:t>, al 2021, indica un AS</w:t>
      </w:r>
      <w:r w:rsidRPr="00955A9B">
        <w:rPr>
          <w:rFonts w:ascii="Times New Roman" w:eastAsia="MinionPro-Regular" w:hAnsi="Times New Roman" w:cs="Times New Roman"/>
          <w:sz w:val="24"/>
          <w:szCs w:val="24"/>
        </w:rPr>
        <w:t>R di 22.9 per 100.000 negli uomini e 13.4 per 100.000 nelle donne, con un nume</w:t>
      </w:r>
      <w:r>
        <w:rPr>
          <w:rFonts w:ascii="Times New Roman" w:eastAsia="MinionPro-Regular" w:hAnsi="Times New Roman" w:cs="Times New Roman"/>
          <w:sz w:val="24"/>
          <w:szCs w:val="24"/>
        </w:rPr>
        <w:t>ro di nuovi casi attesi di 1.149 (680 uomini e 489</w:t>
      </w:r>
      <w:r w:rsidRPr="00955A9B">
        <w:rPr>
          <w:rFonts w:ascii="Times New Roman" w:eastAsia="MinionPro-Regular" w:hAnsi="Times New Roman" w:cs="Times New Roman"/>
          <w:sz w:val="24"/>
          <w:szCs w:val="24"/>
        </w:rPr>
        <w:t xml:space="preserve"> donne).</w:t>
      </w:r>
    </w:p>
    <w:p w14:paraId="3CDCD632" w14:textId="022BF9AE" w:rsidR="005A2B27" w:rsidRDefault="005A2B27" w:rsidP="005A2B27">
      <w:pPr>
        <w:autoSpaceDE w:val="0"/>
        <w:autoSpaceDN w:val="0"/>
        <w:adjustRightInd w:val="0"/>
        <w:spacing w:before="100" w:after="100" w:line="360" w:lineRule="auto"/>
        <w:jc w:val="both"/>
        <w:rPr>
          <w:rFonts w:ascii="Times New Roman" w:eastAsia="MinionPro-Regular" w:hAnsi="Times New Roman" w:cs="Times New Roman"/>
          <w:b/>
          <w:bCs/>
          <w:sz w:val="24"/>
          <w:szCs w:val="24"/>
        </w:rPr>
      </w:pPr>
      <w:r w:rsidRPr="00955A9B">
        <w:rPr>
          <w:rFonts w:ascii="Times New Roman" w:eastAsia="MinionPro-Regular" w:hAnsi="Times New Roman" w:cs="Times New Roman"/>
          <w:sz w:val="24"/>
          <w:szCs w:val="24"/>
        </w:rPr>
        <w:t>L’andamento temporale</w:t>
      </w:r>
      <w:r w:rsidRPr="005A2B27">
        <w:rPr>
          <w:rFonts w:ascii="Times New Roman" w:hAnsi="Times New Roman"/>
          <w:sz w:val="24"/>
          <w:vertAlign w:val="superscript"/>
        </w:rPr>
        <w:t xml:space="preserve"> </w:t>
      </w:r>
      <w:r w:rsidRPr="00955A9B">
        <w:rPr>
          <w:rFonts w:ascii="Times New Roman" w:eastAsia="MinionPro-Regular" w:hAnsi="Times New Roman" w:cs="Times New Roman"/>
          <w:sz w:val="24"/>
          <w:szCs w:val="24"/>
        </w:rPr>
        <w:t>in Italia</w:t>
      </w:r>
      <w:r w:rsidR="009E0E05" w:rsidRPr="009E0E05">
        <w:rPr>
          <w:rFonts w:ascii="Times New Roman" w:eastAsia="MinionPro-Regular" w:hAnsi="Times New Roman" w:cs="Times New Roman"/>
          <w:sz w:val="24"/>
          <w:szCs w:val="24"/>
          <w:vertAlign w:val="superscript"/>
        </w:rPr>
        <w:t>3</w:t>
      </w:r>
      <w:r w:rsidRPr="00955A9B">
        <w:rPr>
          <w:rFonts w:ascii="Times New Roman" w:eastAsia="MinionPro-Regular" w:hAnsi="Times New Roman" w:cs="Times New Roman"/>
          <w:sz w:val="24"/>
          <w:szCs w:val="24"/>
        </w:rPr>
        <w:t xml:space="preserve"> mostra un </w:t>
      </w:r>
      <w:r w:rsidR="00E51127">
        <w:rPr>
          <w:rFonts w:ascii="Times New Roman" w:eastAsia="MinionPro-Regular" w:hAnsi="Times New Roman" w:cs="Times New Roman"/>
          <w:sz w:val="24"/>
          <w:szCs w:val="24"/>
        </w:rPr>
        <w:t>andamento stabile in termini di incidenza rispetto alle stime dello scorso anno.</w:t>
      </w:r>
      <w:r w:rsidRPr="00955A9B">
        <w:rPr>
          <w:rFonts w:ascii="Times New Roman" w:eastAsia="MinionPro-Regular" w:hAnsi="Times New Roman" w:cs="Times New Roman"/>
          <w:sz w:val="24"/>
          <w:szCs w:val="24"/>
        </w:rPr>
        <w:t xml:space="preserve"> </w:t>
      </w:r>
      <w:r w:rsidR="00E51127">
        <w:rPr>
          <w:rFonts w:ascii="Times New Roman" w:eastAsia="MinionPro-Regular" w:hAnsi="Times New Roman" w:cs="Times New Roman"/>
          <w:sz w:val="24"/>
          <w:szCs w:val="24"/>
        </w:rPr>
        <w:t>I</w:t>
      </w:r>
      <w:r w:rsidRPr="00955A9B">
        <w:rPr>
          <w:rFonts w:ascii="Times New Roman" w:eastAsia="MinionPro-Regular" w:hAnsi="Times New Roman" w:cs="Times New Roman"/>
          <w:sz w:val="24"/>
          <w:szCs w:val="24"/>
        </w:rPr>
        <w:t>n Campania</w:t>
      </w:r>
      <w:r w:rsidR="009E0E05">
        <w:rPr>
          <w:rFonts w:ascii="Times New Roman" w:eastAsia="MinionPro-Regular" w:hAnsi="Times New Roman" w:cs="Times New Roman"/>
          <w:sz w:val="24"/>
          <w:szCs w:val="24"/>
          <w:vertAlign w:val="superscript"/>
        </w:rPr>
        <w:t>4</w:t>
      </w:r>
      <w:r w:rsidRPr="00AD41B3">
        <w:rPr>
          <w:rFonts w:ascii="Times New Roman" w:eastAsia="MinionPro-Regular" w:hAnsi="Times New Roman" w:cs="Times New Roman"/>
          <w:sz w:val="24"/>
          <w:szCs w:val="24"/>
        </w:rPr>
        <w:t>,</w:t>
      </w:r>
      <w:r>
        <w:rPr>
          <w:rFonts w:ascii="Times New Roman" w:eastAsia="MinionPro-Regular" w:hAnsi="Times New Roman" w:cs="Times New Roman"/>
          <w:sz w:val="24"/>
          <w:szCs w:val="24"/>
        </w:rPr>
        <w:t xml:space="preserve"> periodo 2008/202</w:t>
      </w:r>
      <w:r w:rsidR="00E85CE1">
        <w:rPr>
          <w:rFonts w:ascii="Times New Roman" w:eastAsia="MinionPro-Regular" w:hAnsi="Times New Roman" w:cs="Times New Roman"/>
          <w:sz w:val="24"/>
          <w:szCs w:val="24"/>
        </w:rPr>
        <w:t>2</w:t>
      </w:r>
      <w:r>
        <w:rPr>
          <w:rFonts w:ascii="Times New Roman" w:eastAsia="MinionPro-Regular" w:hAnsi="Times New Roman" w:cs="Times New Roman"/>
          <w:sz w:val="24"/>
          <w:szCs w:val="24"/>
        </w:rPr>
        <w:t xml:space="preserve">, </w:t>
      </w:r>
      <w:r w:rsidRPr="00955A9B">
        <w:rPr>
          <w:rFonts w:ascii="Times New Roman" w:eastAsia="MinionPro-Regular" w:hAnsi="Times New Roman" w:cs="Times New Roman"/>
          <w:sz w:val="24"/>
          <w:szCs w:val="24"/>
        </w:rPr>
        <w:t>viene evidenziato un andamento temporale in</w:t>
      </w:r>
      <w:r w:rsidR="00E51127">
        <w:rPr>
          <w:rFonts w:ascii="Times New Roman" w:eastAsia="MinionPro-Regular" w:hAnsi="Times New Roman" w:cs="Times New Roman"/>
          <w:sz w:val="24"/>
          <w:szCs w:val="24"/>
        </w:rPr>
        <w:t xml:space="preserve"> progressivo lento</w:t>
      </w:r>
      <w:r w:rsidRPr="00955A9B">
        <w:rPr>
          <w:rFonts w:ascii="Times New Roman" w:eastAsia="MinionPro-Regular" w:hAnsi="Times New Roman" w:cs="Times New Roman"/>
          <w:sz w:val="24"/>
          <w:szCs w:val="24"/>
        </w:rPr>
        <w:t xml:space="preserve"> decre</w:t>
      </w:r>
      <w:r>
        <w:rPr>
          <w:rFonts w:ascii="Times New Roman" w:eastAsia="MinionPro-Regular" w:hAnsi="Times New Roman" w:cs="Times New Roman"/>
          <w:sz w:val="24"/>
          <w:szCs w:val="24"/>
        </w:rPr>
        <w:t xml:space="preserve">mento, con una riduzione annua di –1,4 % </w:t>
      </w:r>
      <w:r w:rsidRPr="00955A9B">
        <w:rPr>
          <w:rFonts w:ascii="Times New Roman" w:eastAsia="MinionPro-Regular" w:hAnsi="Times New Roman" w:cs="Times New Roman"/>
          <w:sz w:val="24"/>
          <w:szCs w:val="24"/>
        </w:rPr>
        <w:t xml:space="preserve">nei maschi e di </w:t>
      </w:r>
      <w:r>
        <w:rPr>
          <w:rFonts w:ascii="Times New Roman" w:eastAsia="MinionPro-Regular" w:hAnsi="Times New Roman" w:cs="Times New Roman"/>
          <w:sz w:val="24"/>
          <w:szCs w:val="24"/>
        </w:rPr>
        <w:t xml:space="preserve">-1,6 </w:t>
      </w:r>
      <w:r w:rsidRPr="00955A9B">
        <w:rPr>
          <w:rFonts w:ascii="Times New Roman" w:eastAsia="MinionPro-Regular" w:hAnsi="Times New Roman" w:cs="Times New Roman"/>
          <w:sz w:val="24"/>
          <w:szCs w:val="24"/>
        </w:rPr>
        <w:t>% nelle donne. (dati</w:t>
      </w:r>
      <w:r>
        <w:rPr>
          <w:rFonts w:ascii="Times New Roman" w:eastAsia="MinionPro-Regular" w:hAnsi="Times New Roman" w:cs="Times New Roman"/>
          <w:sz w:val="24"/>
          <w:szCs w:val="24"/>
        </w:rPr>
        <w:t xml:space="preserve"> statisticamente significativi)</w:t>
      </w:r>
      <w:r w:rsidR="00E51127">
        <w:rPr>
          <w:rFonts w:ascii="Times New Roman" w:eastAsia="MinionPro-Regular" w:hAnsi="Times New Roman" w:cs="Times New Roman"/>
          <w:sz w:val="24"/>
          <w:szCs w:val="24"/>
        </w:rPr>
        <w:t>.</w:t>
      </w:r>
    </w:p>
    <w:p w14:paraId="33DBF42F" w14:textId="3BAC0CB4" w:rsidR="00EA11C4" w:rsidRDefault="00EA11C4"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52703333" w14:textId="5678EF0A" w:rsidR="005A2B27" w:rsidRDefault="005A2B27"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78773DB4" w14:textId="7225756C" w:rsidR="005A2B27" w:rsidRDefault="005A2B27"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47F0EC31" w14:textId="77777777" w:rsidR="00E85CE1" w:rsidRDefault="00E85CE1"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5F4EBC70" w14:textId="17576E1C" w:rsidR="00E85CE1" w:rsidRDefault="00E85CE1"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64EE57CB" w14:textId="77777777" w:rsidR="00E85CE1" w:rsidRDefault="00E85CE1"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1BCA04BC" w14:textId="77777777" w:rsidR="005A2B27" w:rsidRPr="00955A9B" w:rsidRDefault="005A2B27" w:rsidP="005A2B27">
      <w:pPr>
        <w:autoSpaceDE w:val="0"/>
        <w:autoSpaceDN w:val="0"/>
        <w:adjustRightInd w:val="0"/>
        <w:spacing w:before="100" w:after="100" w:line="360" w:lineRule="auto"/>
        <w:jc w:val="both"/>
        <w:rPr>
          <w:rFonts w:ascii="Times New Roman" w:eastAsia="MinionPro-Regular" w:hAnsi="Times New Roman" w:cs="Times New Roman"/>
          <w:b/>
          <w:bCs/>
          <w:sz w:val="24"/>
          <w:szCs w:val="24"/>
        </w:rPr>
      </w:pPr>
      <w:r w:rsidRPr="00955A9B">
        <w:rPr>
          <w:rFonts w:ascii="Times New Roman" w:eastAsia="MinionPro-Regular" w:hAnsi="Times New Roman" w:cs="Times New Roman"/>
          <w:b/>
          <w:bCs/>
          <w:sz w:val="24"/>
          <w:szCs w:val="24"/>
        </w:rPr>
        <w:t>Mortalità</w:t>
      </w:r>
    </w:p>
    <w:p w14:paraId="4EE17EFE" w14:textId="4D3D5263" w:rsidR="005A2B27" w:rsidRPr="005A2B27" w:rsidRDefault="005A2B27" w:rsidP="005A2B27">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La stima al 2020 dei decessi per tumori dello stomaco in Europa</w:t>
      </w:r>
      <w:r w:rsidRPr="00955A9B">
        <w:rPr>
          <w:rFonts w:ascii="Times New Roman" w:eastAsia="MinionPro-Regular" w:hAnsi="Times New Roman" w:cs="Times New Roman"/>
          <w:sz w:val="24"/>
          <w:szCs w:val="24"/>
          <w:vertAlign w:val="superscript"/>
        </w:rPr>
        <w:t>2</w:t>
      </w:r>
      <w:r w:rsidRPr="00955A9B">
        <w:rPr>
          <w:rFonts w:ascii="Times New Roman" w:eastAsia="MinionPro-Regular" w:hAnsi="Times New Roman" w:cs="Times New Roman"/>
          <w:sz w:val="24"/>
          <w:szCs w:val="24"/>
        </w:rPr>
        <w:t xml:space="preserve"> è di un ASR di mortalità di 19.0 per 100.000 nei maschi e 8.6 per 100.000 nelle donne con un numero di decessi annui stimati di circa 100.000. </w:t>
      </w:r>
      <w:r w:rsidRPr="00AD41B3">
        <w:rPr>
          <w:rFonts w:ascii="Times New Roman" w:hAnsi="Times New Roman" w:cs="Times New Roman"/>
          <w:sz w:val="24"/>
          <w:szCs w:val="24"/>
        </w:rPr>
        <w:t>In Italia</w:t>
      </w:r>
      <w:r w:rsidR="00E85CE1">
        <w:rPr>
          <w:rFonts w:ascii="Times New Roman" w:hAnsi="Times New Roman" w:cs="Times New Roman"/>
          <w:sz w:val="24"/>
          <w:szCs w:val="24"/>
          <w:vertAlign w:val="superscript"/>
        </w:rPr>
        <w:t>3</w:t>
      </w:r>
      <w:r w:rsidRPr="00AD41B3">
        <w:rPr>
          <w:rFonts w:ascii="Times New Roman" w:hAnsi="Times New Roman" w:cs="Times New Roman"/>
          <w:sz w:val="24"/>
          <w:szCs w:val="24"/>
          <w:vertAlign w:val="superscript"/>
        </w:rPr>
        <w:t xml:space="preserve"> </w:t>
      </w:r>
      <w:r w:rsidRPr="00AD41B3">
        <w:rPr>
          <w:rFonts w:ascii="Times New Roman" w:hAnsi="Times New Roman" w:cs="Times New Roman"/>
          <w:sz w:val="24"/>
          <w:szCs w:val="24"/>
        </w:rPr>
        <w:t>gli equivalenti dati stimati al 202</w:t>
      </w:r>
      <w:r w:rsidR="00E51127">
        <w:rPr>
          <w:rFonts w:ascii="Times New Roman" w:hAnsi="Times New Roman" w:cs="Times New Roman"/>
          <w:sz w:val="24"/>
          <w:szCs w:val="24"/>
        </w:rPr>
        <w:t>3</w:t>
      </w:r>
      <w:r w:rsidRPr="00AD41B3">
        <w:rPr>
          <w:rFonts w:ascii="Times New Roman" w:hAnsi="Times New Roman" w:cs="Times New Roman"/>
          <w:sz w:val="24"/>
          <w:szCs w:val="24"/>
        </w:rPr>
        <w:t xml:space="preserve"> indicano un ASR di 17.1 per 100.000 nei maschi e di 8.1 per 100.000 donne con una stima dei decessi nel 202</w:t>
      </w:r>
      <w:r w:rsidR="00E51127">
        <w:rPr>
          <w:rFonts w:ascii="Times New Roman" w:hAnsi="Times New Roman" w:cs="Times New Roman"/>
          <w:sz w:val="24"/>
          <w:szCs w:val="24"/>
        </w:rPr>
        <w:t>2</w:t>
      </w:r>
      <w:r w:rsidRPr="00AD41B3">
        <w:rPr>
          <w:rFonts w:ascii="Times New Roman" w:hAnsi="Times New Roman" w:cs="Times New Roman"/>
          <w:sz w:val="24"/>
          <w:szCs w:val="24"/>
        </w:rPr>
        <w:t xml:space="preserve"> di </w:t>
      </w:r>
      <w:r w:rsidR="00E51127">
        <w:rPr>
          <w:rFonts w:ascii="Times New Roman" w:hAnsi="Times New Roman" w:cs="Times New Roman"/>
          <w:sz w:val="24"/>
          <w:szCs w:val="24"/>
        </w:rPr>
        <w:t>9</w:t>
      </w:r>
      <w:r w:rsidRPr="00AD41B3">
        <w:rPr>
          <w:rFonts w:ascii="Times New Roman" w:hAnsi="Times New Roman" w:cs="Times New Roman"/>
          <w:sz w:val="24"/>
          <w:szCs w:val="24"/>
        </w:rPr>
        <w:t>.</w:t>
      </w:r>
      <w:r w:rsidR="00E51127">
        <w:rPr>
          <w:rFonts w:ascii="Times New Roman" w:hAnsi="Times New Roman" w:cs="Times New Roman"/>
          <w:sz w:val="24"/>
          <w:szCs w:val="24"/>
        </w:rPr>
        <w:t>9</w:t>
      </w:r>
      <w:r w:rsidR="00E85CE1">
        <w:rPr>
          <w:rFonts w:ascii="Times New Roman" w:hAnsi="Times New Roman" w:cs="Times New Roman"/>
          <w:sz w:val="24"/>
          <w:szCs w:val="24"/>
        </w:rPr>
        <w:t>00</w:t>
      </w:r>
      <w:r w:rsidRPr="00AD41B3">
        <w:rPr>
          <w:rFonts w:ascii="Times New Roman" w:hAnsi="Times New Roman" w:cs="Times New Roman"/>
          <w:sz w:val="24"/>
          <w:szCs w:val="24"/>
        </w:rPr>
        <w:t xml:space="preserve"> (5.</w:t>
      </w:r>
      <w:r w:rsidR="00E51127">
        <w:rPr>
          <w:rFonts w:ascii="Times New Roman" w:hAnsi="Times New Roman" w:cs="Times New Roman"/>
          <w:sz w:val="24"/>
          <w:szCs w:val="24"/>
        </w:rPr>
        <w:t>7</w:t>
      </w:r>
      <w:r w:rsidR="00E85CE1">
        <w:rPr>
          <w:rFonts w:ascii="Times New Roman" w:hAnsi="Times New Roman" w:cs="Times New Roman"/>
          <w:sz w:val="24"/>
          <w:szCs w:val="24"/>
        </w:rPr>
        <w:t>00</w:t>
      </w:r>
      <w:r w:rsidRPr="00AD41B3">
        <w:rPr>
          <w:rFonts w:ascii="Times New Roman" w:hAnsi="Times New Roman" w:cs="Times New Roman"/>
          <w:sz w:val="24"/>
          <w:szCs w:val="24"/>
        </w:rPr>
        <w:t xml:space="preserve"> uomini e </w:t>
      </w:r>
      <w:r w:rsidR="00E51127">
        <w:rPr>
          <w:rFonts w:ascii="Times New Roman" w:hAnsi="Times New Roman" w:cs="Times New Roman"/>
          <w:sz w:val="24"/>
          <w:szCs w:val="24"/>
        </w:rPr>
        <w:t>4</w:t>
      </w:r>
      <w:r w:rsidRPr="00AD41B3">
        <w:rPr>
          <w:rFonts w:ascii="Times New Roman" w:hAnsi="Times New Roman" w:cs="Times New Roman"/>
          <w:sz w:val="24"/>
          <w:szCs w:val="24"/>
        </w:rPr>
        <w:t>.</w:t>
      </w:r>
      <w:r w:rsidR="00E51127">
        <w:rPr>
          <w:rFonts w:ascii="Times New Roman" w:hAnsi="Times New Roman" w:cs="Times New Roman"/>
          <w:sz w:val="24"/>
          <w:szCs w:val="24"/>
        </w:rPr>
        <w:t>2</w:t>
      </w:r>
      <w:r w:rsidR="00E85CE1">
        <w:rPr>
          <w:rFonts w:ascii="Times New Roman" w:hAnsi="Times New Roman" w:cs="Times New Roman"/>
          <w:sz w:val="24"/>
          <w:szCs w:val="24"/>
        </w:rPr>
        <w:t>00</w:t>
      </w:r>
      <w:r w:rsidRPr="00AD41B3">
        <w:rPr>
          <w:rFonts w:ascii="Times New Roman" w:hAnsi="Times New Roman" w:cs="Times New Roman"/>
          <w:sz w:val="24"/>
          <w:szCs w:val="24"/>
        </w:rPr>
        <w:t xml:space="preserve"> donne). </w:t>
      </w:r>
    </w:p>
    <w:p w14:paraId="3BD1BA4E" w14:textId="4E11AB00" w:rsidR="005A2B27" w:rsidRPr="00955A9B" w:rsidRDefault="005A2B27" w:rsidP="005A2B27">
      <w:pPr>
        <w:autoSpaceDE w:val="0"/>
        <w:autoSpaceDN w:val="0"/>
        <w:adjustRightInd w:val="0"/>
        <w:spacing w:before="100" w:after="10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xml:space="preserve">La stima </w:t>
      </w:r>
      <w:r w:rsidRPr="00955A9B">
        <w:rPr>
          <w:rFonts w:ascii="Times New Roman" w:eastAsia="MinionPro-Regular" w:hAnsi="Times New Roman" w:cs="Times New Roman"/>
          <w:sz w:val="24"/>
          <w:szCs w:val="24"/>
        </w:rPr>
        <w:t>in Campania</w:t>
      </w:r>
      <w:r w:rsidR="00E85CE1">
        <w:rPr>
          <w:rFonts w:ascii="Times New Roman" w:eastAsia="MinionPro-Regular" w:hAnsi="Times New Roman" w:cs="Times New Roman"/>
          <w:sz w:val="24"/>
          <w:szCs w:val="24"/>
          <w:vertAlign w:val="superscript"/>
        </w:rPr>
        <w:t>4</w:t>
      </w:r>
      <w:r w:rsidRPr="00955A9B">
        <w:rPr>
          <w:rFonts w:ascii="Times New Roman" w:eastAsia="MinionPro-Regular" w:hAnsi="Times New Roman" w:cs="Times New Roman"/>
          <w:sz w:val="24"/>
          <w:szCs w:val="24"/>
        </w:rPr>
        <w:t xml:space="preserve"> al 202</w:t>
      </w:r>
      <w:r w:rsidR="00E85CE1">
        <w:rPr>
          <w:rFonts w:ascii="Times New Roman" w:eastAsia="MinionPro-Regular" w:hAnsi="Times New Roman" w:cs="Times New Roman"/>
          <w:sz w:val="24"/>
          <w:szCs w:val="24"/>
        </w:rPr>
        <w:t>2</w:t>
      </w:r>
      <w:r w:rsidRPr="00955A9B">
        <w:rPr>
          <w:rFonts w:ascii="Times New Roman" w:eastAsia="MinionPro-Regular" w:hAnsi="Times New Roman" w:cs="Times New Roman"/>
          <w:sz w:val="24"/>
          <w:szCs w:val="24"/>
        </w:rPr>
        <w:t xml:space="preserve"> indica un ASR di mortalità di </w:t>
      </w:r>
      <w:r>
        <w:rPr>
          <w:rFonts w:ascii="Times New Roman" w:eastAsia="MinionPro-Regular" w:hAnsi="Times New Roman" w:cs="Times New Roman"/>
          <w:sz w:val="24"/>
          <w:szCs w:val="24"/>
        </w:rPr>
        <w:t>17.5 per 100.000 negli uomini e 9.5</w:t>
      </w:r>
      <w:r w:rsidRPr="00955A9B">
        <w:rPr>
          <w:rFonts w:ascii="Times New Roman" w:eastAsia="MinionPro-Regular" w:hAnsi="Times New Roman" w:cs="Times New Roman"/>
          <w:sz w:val="24"/>
          <w:szCs w:val="24"/>
        </w:rPr>
        <w:t xml:space="preserve"> per 100.000 nelle do</w:t>
      </w:r>
      <w:r>
        <w:rPr>
          <w:rFonts w:ascii="Times New Roman" w:eastAsia="MinionPro-Regular" w:hAnsi="Times New Roman" w:cs="Times New Roman"/>
          <w:sz w:val="24"/>
          <w:szCs w:val="24"/>
        </w:rPr>
        <w:t>nne, con un numero stimato di 811 decessi (483 uomini e 329</w:t>
      </w:r>
      <w:r w:rsidRPr="00955A9B">
        <w:rPr>
          <w:rFonts w:ascii="Times New Roman" w:eastAsia="MinionPro-Regular" w:hAnsi="Times New Roman" w:cs="Times New Roman"/>
          <w:sz w:val="24"/>
          <w:szCs w:val="24"/>
        </w:rPr>
        <w:t xml:space="preserve"> donne).</w:t>
      </w:r>
    </w:p>
    <w:p w14:paraId="77E5089E" w14:textId="737F46EE" w:rsidR="005A2B27" w:rsidRPr="00955A9B" w:rsidRDefault="005A2B27" w:rsidP="005A2B27">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L’andamento temporale della mortalità</w:t>
      </w:r>
      <w:r>
        <w:rPr>
          <w:rFonts w:ascii="Times New Roman" w:eastAsia="MinionPro-Regular" w:hAnsi="Times New Roman" w:cs="Times New Roman"/>
          <w:sz w:val="24"/>
          <w:szCs w:val="24"/>
        </w:rPr>
        <w:t xml:space="preserve"> </w:t>
      </w:r>
      <w:r w:rsidRPr="00955A9B">
        <w:rPr>
          <w:rFonts w:ascii="Times New Roman" w:eastAsia="MinionPro-Regular" w:hAnsi="Times New Roman" w:cs="Times New Roman"/>
          <w:sz w:val="24"/>
          <w:szCs w:val="24"/>
        </w:rPr>
        <w:t xml:space="preserve"> ha evidenziato in Italia</w:t>
      </w:r>
      <w:r w:rsidRPr="007A75D9">
        <w:rPr>
          <w:rFonts w:ascii="Times New Roman" w:eastAsia="MinionPro-Regular" w:hAnsi="Times New Roman" w:cs="Times New Roman"/>
          <w:sz w:val="24"/>
          <w:szCs w:val="24"/>
          <w:vertAlign w:val="superscript"/>
        </w:rPr>
        <w:t>4</w:t>
      </w:r>
      <w:r w:rsidRPr="00955A9B">
        <w:rPr>
          <w:rFonts w:ascii="Times New Roman" w:eastAsia="MinionPro-Regular" w:hAnsi="Times New Roman" w:cs="Times New Roman"/>
          <w:sz w:val="24"/>
          <w:szCs w:val="24"/>
        </w:rPr>
        <w:t xml:space="preserve"> un decremento significativo, con una riduzione annua di -2,4% nei maschi e -2,7</w:t>
      </w:r>
      <w:r>
        <w:rPr>
          <w:rFonts w:ascii="Times New Roman" w:eastAsia="MinionPro-Regular" w:hAnsi="Times New Roman" w:cs="Times New Roman"/>
          <w:sz w:val="24"/>
          <w:szCs w:val="24"/>
        </w:rPr>
        <w:t>%</w:t>
      </w:r>
      <w:r w:rsidRPr="00955A9B">
        <w:rPr>
          <w:rFonts w:ascii="Times New Roman" w:eastAsia="MinionPro-Regular" w:hAnsi="Times New Roman" w:cs="Times New Roman"/>
          <w:sz w:val="24"/>
          <w:szCs w:val="24"/>
        </w:rPr>
        <w:t xml:space="preserve"> nelle donne;</w:t>
      </w:r>
      <w:r>
        <w:rPr>
          <w:rFonts w:ascii="Times New Roman" w:eastAsia="MinionPro-Regular" w:hAnsi="Times New Roman" w:cs="Times New Roman"/>
          <w:sz w:val="24"/>
          <w:szCs w:val="24"/>
        </w:rPr>
        <w:t xml:space="preserve"> ugualmente in decremento, con variazioni percentuali annue statisticamente significative,  si è osservato in Campania</w:t>
      </w:r>
      <w:r w:rsidRPr="00AF54D0">
        <w:rPr>
          <w:rFonts w:ascii="Times New Roman" w:eastAsia="MinionPro-Regular" w:hAnsi="Times New Roman" w:cs="Times New Roman"/>
          <w:sz w:val="24"/>
          <w:szCs w:val="24"/>
          <w:vertAlign w:val="superscript"/>
        </w:rPr>
        <w:t>3</w:t>
      </w:r>
      <w:r>
        <w:rPr>
          <w:rFonts w:ascii="Times New Roman" w:eastAsia="MinionPro-Regular" w:hAnsi="Times New Roman" w:cs="Times New Roman"/>
          <w:sz w:val="24"/>
          <w:szCs w:val="24"/>
        </w:rPr>
        <w:t xml:space="preserve"> per il periodo 2008/202</w:t>
      </w:r>
      <w:r w:rsidR="00E85CE1">
        <w:rPr>
          <w:rFonts w:ascii="Times New Roman" w:eastAsia="MinionPro-Regular" w:hAnsi="Times New Roman" w:cs="Times New Roman"/>
          <w:sz w:val="24"/>
          <w:szCs w:val="24"/>
        </w:rPr>
        <w:t>2</w:t>
      </w:r>
      <w:r w:rsidRPr="00955A9B">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con una variazione percentuale annua di –2,4 % nei maschi e – 2,6 nelle donne</w:t>
      </w:r>
      <w:r w:rsidRPr="00955A9B">
        <w:rPr>
          <w:rFonts w:ascii="Times New Roman" w:eastAsia="MinionPro-Regular" w:hAnsi="Times New Roman" w:cs="Times New Roman"/>
          <w:sz w:val="24"/>
          <w:szCs w:val="24"/>
        </w:rPr>
        <w:t>.</w:t>
      </w:r>
    </w:p>
    <w:p w14:paraId="28887DC6" w14:textId="77777777" w:rsidR="005A2B27" w:rsidRPr="00955A9B" w:rsidRDefault="005A2B27" w:rsidP="005A2B27">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0F5B8506" w14:textId="77777777"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b/>
          <w:bCs/>
          <w:sz w:val="24"/>
          <w:szCs w:val="24"/>
        </w:rPr>
        <w:t>Sopravvivenz</w:t>
      </w:r>
      <w:r w:rsidRPr="00955A9B">
        <w:rPr>
          <w:rFonts w:ascii="Times New Roman" w:eastAsia="MinionPro-Regular" w:hAnsi="Times New Roman" w:cs="Times New Roman"/>
          <w:sz w:val="24"/>
          <w:szCs w:val="24"/>
        </w:rPr>
        <w:t>a</w:t>
      </w:r>
    </w:p>
    <w:p w14:paraId="450AF645" w14:textId="5BEB7F18" w:rsidR="00EA11C4" w:rsidRPr="00955A9B" w:rsidRDefault="00690B4D" w:rsidP="00955A9B">
      <w:pPr>
        <w:autoSpaceDE w:val="0"/>
        <w:autoSpaceDN w:val="0"/>
        <w:adjustRightInd w:val="0"/>
        <w:spacing w:before="100" w:after="100" w:line="360" w:lineRule="auto"/>
        <w:jc w:val="both"/>
        <w:rPr>
          <w:rFonts w:ascii="Times New Roman" w:eastAsia="MinionPro-Regular" w:hAnsi="Times New Roman" w:cs="Times New Roman"/>
          <w:bCs/>
          <w:sz w:val="24"/>
          <w:szCs w:val="24"/>
        </w:rPr>
      </w:pPr>
      <w:r w:rsidRPr="00955A9B">
        <w:rPr>
          <w:rFonts w:ascii="Times New Roman" w:eastAsia="MinionPro-Regular" w:hAnsi="Times New Roman" w:cs="Times New Roman"/>
          <w:sz w:val="24"/>
          <w:szCs w:val="24"/>
        </w:rPr>
        <w:t>La sopravvivenza a 5 anni in Italia è stimata relativamente più elevata (30% negli uomini, 35% nelle donne) rispetto alla media Europea (25%), benchè il tumore gastrico continui a rappresentare una neoplasia aggressiva collocata tra quelle a peggiore prognosi</w:t>
      </w:r>
      <w:r w:rsidR="00EA11C4" w:rsidRPr="00955A9B">
        <w:rPr>
          <w:rFonts w:ascii="Times New Roman" w:eastAsia="MinionPro-Regular" w:hAnsi="Times New Roman" w:cs="Times New Roman"/>
          <w:sz w:val="24"/>
          <w:szCs w:val="24"/>
        </w:rPr>
        <w:t xml:space="preserve">; in Campania si osserva una sopravvivenza simile a quella rilevata a livello nazionale, con il 29% di sopravvivenza a 5 anni nei maschi ed il 31% nelle donne. </w:t>
      </w:r>
    </w:p>
    <w:p w14:paraId="50968CA8" w14:textId="77777777"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3A9EEFD5" w14:textId="77777777"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r w:rsidRPr="00955A9B">
        <w:rPr>
          <w:rFonts w:ascii="Times New Roman" w:eastAsia="MinionPro-Regular" w:hAnsi="Times New Roman" w:cs="Times New Roman"/>
          <w:b/>
          <w:bCs/>
          <w:sz w:val="24"/>
          <w:szCs w:val="24"/>
        </w:rPr>
        <w:t>Percorsi diagnostico clinici dei pazienti residenti in Regione Campania</w:t>
      </w:r>
      <w:r w:rsidRPr="00955A9B">
        <w:rPr>
          <w:rFonts w:ascii="Times New Roman" w:eastAsia="MinionPro-Regular" w:hAnsi="Times New Roman" w:cs="Times New Roman"/>
          <w:sz w:val="24"/>
          <w:szCs w:val="24"/>
        </w:rPr>
        <w:t xml:space="preserve"> </w:t>
      </w:r>
    </w:p>
    <w:p w14:paraId="613669E3" w14:textId="52A0D017" w:rsidR="00EA11C4" w:rsidRPr="00955A9B" w:rsidRDefault="005A2B27" w:rsidP="005A2B27">
      <w:pPr>
        <w:autoSpaceDE w:val="0"/>
        <w:autoSpaceDN w:val="0"/>
        <w:adjustRightInd w:val="0"/>
        <w:spacing w:after="0" w:line="360" w:lineRule="auto"/>
        <w:contextualSpacing/>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Nel triennio 201</w:t>
      </w:r>
      <w:r>
        <w:rPr>
          <w:rFonts w:ascii="Times New Roman" w:eastAsia="MinionPro-Regular" w:hAnsi="Times New Roman" w:cs="Times New Roman"/>
          <w:sz w:val="24"/>
          <w:szCs w:val="24"/>
        </w:rPr>
        <w:t>7</w:t>
      </w:r>
      <w:r w:rsidRPr="00955A9B">
        <w:rPr>
          <w:rFonts w:ascii="Times New Roman" w:eastAsia="MinionPro-Regular" w:hAnsi="Times New Roman" w:cs="Times New Roman"/>
          <w:sz w:val="24"/>
          <w:szCs w:val="24"/>
        </w:rPr>
        <w:t>/201</w:t>
      </w:r>
      <w:r>
        <w:rPr>
          <w:rFonts w:ascii="Times New Roman" w:eastAsia="MinionPro-Regular" w:hAnsi="Times New Roman" w:cs="Times New Roman"/>
          <w:sz w:val="24"/>
          <w:szCs w:val="24"/>
        </w:rPr>
        <w:t>9</w:t>
      </w:r>
      <w:r w:rsidRPr="00955A9B">
        <w:rPr>
          <w:rFonts w:ascii="Times New Roman" w:eastAsia="MinionPro-Regular" w:hAnsi="Times New Roman" w:cs="Times New Roman"/>
          <w:sz w:val="24"/>
          <w:szCs w:val="24"/>
        </w:rPr>
        <w:t xml:space="preserve"> sono state trattati chirurgicament</w:t>
      </w:r>
      <w:r>
        <w:rPr>
          <w:rFonts w:ascii="Times New Roman" w:eastAsia="MinionPro-Regular" w:hAnsi="Times New Roman" w:cs="Times New Roman"/>
          <w:sz w:val="24"/>
          <w:szCs w:val="24"/>
        </w:rPr>
        <w:t>e per tumore dello stomaco 1.471</w:t>
      </w:r>
      <w:r w:rsidRPr="00955A9B">
        <w:rPr>
          <w:rFonts w:ascii="Times New Roman" w:eastAsia="MinionPro-Regular" w:hAnsi="Times New Roman" w:cs="Times New Roman"/>
          <w:sz w:val="24"/>
          <w:szCs w:val="24"/>
        </w:rPr>
        <w:t xml:space="preserve"> pazienti resid</w:t>
      </w:r>
      <w:r>
        <w:rPr>
          <w:rFonts w:ascii="Times New Roman" w:eastAsia="MinionPro-Regular" w:hAnsi="Times New Roman" w:cs="Times New Roman"/>
          <w:sz w:val="24"/>
          <w:szCs w:val="24"/>
        </w:rPr>
        <w:t>enti in Campania; di questi 1.255 (85,3</w:t>
      </w:r>
      <w:r w:rsidRPr="00955A9B">
        <w:rPr>
          <w:rFonts w:ascii="Times New Roman" w:eastAsia="MinionPro-Regular" w:hAnsi="Times New Roman" w:cs="Times New Roman"/>
          <w:sz w:val="24"/>
          <w:szCs w:val="24"/>
        </w:rPr>
        <w:t>% della casistica) sono stati trattati in 7</w:t>
      </w:r>
      <w:r>
        <w:rPr>
          <w:rFonts w:ascii="Times New Roman" w:eastAsia="MinionPro-Regular" w:hAnsi="Times New Roman" w:cs="Times New Roman"/>
          <w:sz w:val="24"/>
          <w:szCs w:val="24"/>
        </w:rPr>
        <w:t>2</w:t>
      </w:r>
      <w:r w:rsidRPr="00955A9B">
        <w:rPr>
          <w:rFonts w:ascii="Times New Roman" w:eastAsia="MinionPro-Regular" w:hAnsi="Times New Roman" w:cs="Times New Roman"/>
          <w:sz w:val="24"/>
          <w:szCs w:val="24"/>
        </w:rPr>
        <w:t xml:space="preserve"> diverse strutture re</w:t>
      </w:r>
      <w:r>
        <w:rPr>
          <w:rFonts w:ascii="Times New Roman" w:eastAsia="MinionPro-Regular" w:hAnsi="Times New Roman" w:cs="Times New Roman"/>
          <w:sz w:val="24"/>
          <w:szCs w:val="24"/>
        </w:rPr>
        <w:t>gionali di diagnosi e cura e 216 (14,7</w:t>
      </w:r>
      <w:r w:rsidRPr="00955A9B">
        <w:rPr>
          <w:rFonts w:ascii="Times New Roman" w:eastAsia="MinionPro-Regular" w:hAnsi="Times New Roman" w:cs="Times New Roman"/>
          <w:sz w:val="24"/>
          <w:szCs w:val="24"/>
        </w:rPr>
        <w:t xml:space="preserve"> % della casistica) sono</w:t>
      </w:r>
      <w:r>
        <w:rPr>
          <w:rFonts w:ascii="Times New Roman" w:eastAsia="MinionPro-Regular" w:hAnsi="Times New Roman" w:cs="Times New Roman"/>
          <w:sz w:val="24"/>
          <w:szCs w:val="24"/>
        </w:rPr>
        <w:t xml:space="preserve"> stati trattati in ulteriori 80 </w:t>
      </w:r>
      <w:r w:rsidRPr="00955A9B">
        <w:rPr>
          <w:rFonts w:ascii="Times New Roman" w:eastAsia="MinionPro-Regular" w:hAnsi="Times New Roman" w:cs="Times New Roman"/>
          <w:sz w:val="24"/>
          <w:szCs w:val="24"/>
        </w:rPr>
        <w:t>diverse strutture extraregionali. La Rete Oncologica</w:t>
      </w:r>
      <w:r w:rsidRPr="004C2B97">
        <w:rPr>
          <w:rFonts w:ascii="Times New Roman" w:hAnsi="Times New Roman"/>
        </w:rPr>
        <w:t xml:space="preserve"> </w:t>
      </w:r>
      <w:r w:rsidRPr="00955A9B">
        <w:rPr>
          <w:rFonts w:ascii="Times New Roman" w:eastAsia="MinionPro-Regular" w:hAnsi="Times New Roman" w:cs="Times New Roman"/>
          <w:sz w:val="24"/>
          <w:szCs w:val="24"/>
        </w:rPr>
        <w:t xml:space="preserve"> Regio</w:t>
      </w:r>
      <w:r>
        <w:rPr>
          <w:rFonts w:ascii="Times New Roman" w:eastAsia="MinionPro-Regular" w:hAnsi="Times New Roman" w:cs="Times New Roman"/>
          <w:sz w:val="24"/>
          <w:szCs w:val="24"/>
        </w:rPr>
        <w:t>nale ha identificato 32</w:t>
      </w:r>
      <w:r w:rsidRPr="00955A9B">
        <w:rPr>
          <w:rFonts w:ascii="Times New Roman" w:eastAsia="MinionPro-Regular" w:hAnsi="Times New Roman" w:cs="Times New Roman"/>
          <w:sz w:val="24"/>
          <w:szCs w:val="24"/>
        </w:rPr>
        <w:t xml:space="preserve"> strutture regionali abilitate ad entrare in Rete per la chirurgia dei tumori gastrici</w:t>
      </w:r>
      <w:r w:rsidRPr="004C2B97">
        <w:rPr>
          <w:rStyle w:val="Rimandonotaapidipagina"/>
          <w:rFonts w:ascii="Times New Roman" w:hAnsi="Times New Roman"/>
          <w:sz w:val="24"/>
        </w:rPr>
        <w:footnoteReference w:id="4"/>
      </w:r>
      <w:r w:rsidRPr="00955A9B">
        <w:rPr>
          <w:rFonts w:ascii="Times New Roman" w:eastAsia="MinionPro-Regular" w:hAnsi="Times New Roman" w:cs="Times New Roman"/>
          <w:sz w:val="24"/>
          <w:szCs w:val="24"/>
        </w:rPr>
        <w:t xml:space="preserve">. </w:t>
      </w:r>
    </w:p>
    <w:p w14:paraId="7F8921CC" w14:textId="7670AD63" w:rsidR="00EA11C4" w:rsidRPr="00955A9B" w:rsidRDefault="00EA11C4"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w:t>
      </w:r>
      <w:r w:rsidR="00CC14B6" w:rsidRPr="00955A9B">
        <w:rPr>
          <w:rFonts w:ascii="Times New Roman" w:eastAsia="MinionPro-Regular" w:hAnsi="Times New Roman" w:cs="Times New Roman"/>
          <w:sz w:val="24"/>
          <w:szCs w:val="24"/>
        </w:rPr>
        <w:t>V</w:t>
      </w:r>
      <w:r w:rsidRPr="00955A9B">
        <w:rPr>
          <w:rFonts w:ascii="Times New Roman" w:eastAsia="MinionPro-Regular" w:hAnsi="Times New Roman" w:cs="Times New Roman"/>
          <w:sz w:val="24"/>
          <w:szCs w:val="24"/>
        </w:rPr>
        <w:t>edi mappa</w:t>
      </w:r>
      <w:r w:rsidR="005A2B27">
        <w:rPr>
          <w:rFonts w:ascii="Times New Roman" w:eastAsia="MinionPro-Regular" w:hAnsi="Times New Roman" w:cs="Times New Roman"/>
          <w:sz w:val="24"/>
          <w:szCs w:val="24"/>
        </w:rPr>
        <w:t xml:space="preserve"> per la distribuzione delle strutture sul territorio regionale</w:t>
      </w:r>
      <w:r w:rsidRPr="00955A9B">
        <w:rPr>
          <w:rFonts w:ascii="Times New Roman" w:eastAsia="MinionPro-Regular" w:hAnsi="Times New Roman" w:cs="Times New Roman"/>
          <w:sz w:val="24"/>
          <w:szCs w:val="24"/>
        </w:rPr>
        <w:t xml:space="preserve"> regionale)</w:t>
      </w:r>
    </w:p>
    <w:p w14:paraId="08D60E58" w14:textId="5CC3AB33" w:rsidR="00CC14B6" w:rsidRPr="00955A9B" w:rsidRDefault="00CC14B6"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311F9F74" w14:textId="4EC80217" w:rsidR="005A2B27" w:rsidRDefault="005A2B27" w:rsidP="005A2B27">
      <w:pPr>
        <w:spacing w:line="360" w:lineRule="auto"/>
        <w:ind w:left="140"/>
        <w:jc w:val="both"/>
        <w:rPr>
          <w:rFonts w:ascii="Times New Roman" w:eastAsia="Times New Roman" w:hAnsi="Times New Roman" w:cs="Times New Roman"/>
          <w:b/>
          <w:sz w:val="24"/>
          <w:szCs w:val="24"/>
        </w:rPr>
      </w:pPr>
    </w:p>
    <w:p w14:paraId="1A9C916D" w14:textId="103DE579" w:rsidR="005A2B27" w:rsidRDefault="005A2B27" w:rsidP="005A2B27">
      <w:pPr>
        <w:spacing w:line="360" w:lineRule="auto"/>
        <w:ind w:left="140"/>
        <w:jc w:val="both"/>
        <w:rPr>
          <w:rFonts w:ascii="Times New Roman" w:eastAsia="Times New Roman" w:hAnsi="Times New Roman" w:cs="Times New Roman"/>
          <w:b/>
          <w:sz w:val="24"/>
          <w:szCs w:val="24"/>
        </w:rPr>
      </w:pPr>
      <w:r>
        <w:rPr>
          <w:noProof/>
          <w:lang w:eastAsia="it-IT"/>
        </w:rPr>
        <w:drawing>
          <wp:anchor distT="0" distB="0" distL="114300" distR="114300" simplePos="0" relativeHeight="251774976" behindDoc="0" locked="0" layoutInCell="1" allowOverlap="1" wp14:anchorId="36FA8222" wp14:editId="790A5143">
            <wp:simplePos x="0" y="0"/>
            <wp:positionH relativeFrom="margin">
              <wp:posOffset>-83986</wp:posOffset>
            </wp:positionH>
            <wp:positionV relativeFrom="paragraph">
              <wp:posOffset>119241</wp:posOffset>
            </wp:positionV>
            <wp:extent cx="5017135" cy="387228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497" t="14665" r="19070" b="8965"/>
                    <a:stretch/>
                  </pic:blipFill>
                  <pic:spPr bwMode="auto">
                    <a:xfrm>
                      <a:off x="0" y="0"/>
                      <a:ext cx="5019636" cy="38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1E059" w14:textId="6EEE4C57" w:rsidR="005A2B27" w:rsidRDefault="005A2B27" w:rsidP="005A2B27">
      <w:pPr>
        <w:spacing w:line="360" w:lineRule="auto"/>
        <w:ind w:left="140"/>
        <w:jc w:val="both"/>
        <w:rPr>
          <w:rFonts w:ascii="Times New Roman" w:eastAsia="Times New Roman" w:hAnsi="Times New Roman" w:cs="Times New Roman"/>
          <w:b/>
          <w:sz w:val="24"/>
          <w:szCs w:val="24"/>
        </w:rPr>
      </w:pPr>
    </w:p>
    <w:p w14:paraId="2567CEC9"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21F7E47A" w14:textId="402CC2E7" w:rsidR="005A2B27" w:rsidRDefault="005A2B27" w:rsidP="005A2B27">
      <w:pPr>
        <w:spacing w:line="360" w:lineRule="auto"/>
        <w:ind w:left="140"/>
        <w:jc w:val="both"/>
        <w:rPr>
          <w:rFonts w:ascii="Times New Roman" w:eastAsia="Times New Roman" w:hAnsi="Times New Roman" w:cs="Times New Roman"/>
          <w:b/>
          <w:sz w:val="24"/>
          <w:szCs w:val="24"/>
        </w:rPr>
      </w:pPr>
    </w:p>
    <w:p w14:paraId="2FAEF609" w14:textId="6167BFBE" w:rsidR="005A2B27" w:rsidRDefault="005A2B27" w:rsidP="005A2B27">
      <w:pPr>
        <w:spacing w:line="360" w:lineRule="auto"/>
        <w:ind w:left="140"/>
        <w:jc w:val="both"/>
        <w:rPr>
          <w:rFonts w:ascii="Times New Roman" w:eastAsia="Times New Roman" w:hAnsi="Times New Roman" w:cs="Times New Roman"/>
          <w:b/>
          <w:sz w:val="24"/>
          <w:szCs w:val="24"/>
        </w:rPr>
      </w:pPr>
    </w:p>
    <w:p w14:paraId="417C6D82"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26FB1AE8"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78F6EE87"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0AA28BD8"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1D3B47FE"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0A3B9EDD"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6A5BC62F" w14:textId="77777777" w:rsidR="005A2B27" w:rsidRDefault="005A2B27" w:rsidP="005A2B27">
      <w:pPr>
        <w:spacing w:line="360" w:lineRule="auto"/>
        <w:ind w:left="140"/>
        <w:jc w:val="both"/>
        <w:rPr>
          <w:rFonts w:ascii="Times New Roman" w:eastAsia="Times New Roman" w:hAnsi="Times New Roman" w:cs="Times New Roman"/>
          <w:b/>
          <w:sz w:val="24"/>
          <w:szCs w:val="24"/>
        </w:rPr>
      </w:pPr>
    </w:p>
    <w:p w14:paraId="6EFD14B0" w14:textId="2A85950F" w:rsidR="00C77143" w:rsidRPr="00955A9B" w:rsidRDefault="00C77143" w:rsidP="005A2B27">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PERCORSO PER SEGMENTAZIONE</w:t>
      </w:r>
    </w:p>
    <w:p w14:paraId="3885FB6A" w14:textId="5BFD2785" w:rsidR="00C77143" w:rsidRPr="00955A9B" w:rsidRDefault="00C77143" w:rsidP="00955A9B">
      <w:pPr>
        <w:numPr>
          <w:ilvl w:val="0"/>
          <w:numId w:val="1"/>
        </w:numPr>
        <w:tabs>
          <w:tab w:val="left" w:pos="426"/>
        </w:tabs>
        <w:spacing w:after="0" w:line="360" w:lineRule="auto"/>
        <w:ind w:left="840" w:hanging="707"/>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Percorso Diagnostico/Stadiativo per paziente con sospetta neoplasia gastrica</w:t>
      </w:r>
    </w:p>
    <w:p w14:paraId="49CB1D4E" w14:textId="11B68E38" w:rsidR="00C77143" w:rsidRPr="00955A9B" w:rsidRDefault="00C77143" w:rsidP="00955A9B">
      <w:pPr>
        <w:numPr>
          <w:ilvl w:val="0"/>
          <w:numId w:val="1"/>
        </w:numPr>
        <w:tabs>
          <w:tab w:val="left" w:pos="426"/>
          <w:tab w:val="left" w:pos="840"/>
        </w:tabs>
        <w:spacing w:after="0" w:line="360" w:lineRule="auto"/>
        <w:ind w:left="840" w:hanging="707"/>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Percorso Terapeutico per paziente con neoplasia gastrica accertata ed in fase precoce</w:t>
      </w:r>
    </w:p>
    <w:p w14:paraId="61C509FE" w14:textId="77777777" w:rsidR="001F6F3D" w:rsidRDefault="00C77143" w:rsidP="001F6F3D">
      <w:pPr>
        <w:tabs>
          <w:tab w:val="left" w:pos="426"/>
          <w:tab w:val="left" w:pos="840"/>
          <w:tab w:val="left" w:pos="4280"/>
        </w:tabs>
        <w:spacing w:line="360" w:lineRule="auto"/>
        <w:ind w:left="14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w:t>
      </w:r>
      <w:r w:rsidRPr="00955A9B">
        <w:rPr>
          <w:rFonts w:ascii="Times New Roman" w:eastAsia="Times New Roman" w:hAnsi="Times New Roman" w:cs="Times New Roman"/>
          <w:sz w:val="24"/>
          <w:szCs w:val="24"/>
        </w:rPr>
        <w:tab/>
        <w:t>Percorso Terapeutico per paziente</w:t>
      </w:r>
      <w:r w:rsidR="00CC14B6"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con neoplasia gastri</w:t>
      </w:r>
      <w:r w:rsidR="001F6F3D">
        <w:rPr>
          <w:rFonts w:ascii="Times New Roman" w:eastAsia="Times New Roman" w:hAnsi="Times New Roman" w:cs="Times New Roman"/>
          <w:sz w:val="24"/>
          <w:szCs w:val="24"/>
        </w:rPr>
        <w:t>ca accertata ed in fase avanzata</w:t>
      </w:r>
    </w:p>
    <w:p w14:paraId="25AE5A09" w14:textId="78A22476" w:rsidR="00C77143" w:rsidRPr="001F6F3D" w:rsidRDefault="001F6F3D" w:rsidP="001F6F3D">
      <w:pPr>
        <w:tabs>
          <w:tab w:val="left" w:pos="426"/>
          <w:tab w:val="left" w:pos="840"/>
          <w:tab w:val="left" w:pos="4280"/>
        </w:tabs>
        <w:spacing w:line="36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77143" w:rsidRPr="001F6F3D">
        <w:rPr>
          <w:rFonts w:ascii="Times New Roman" w:eastAsia="Times New Roman" w:hAnsi="Times New Roman" w:cs="Times New Roman"/>
          <w:sz w:val="24"/>
          <w:szCs w:val="24"/>
        </w:rPr>
        <w:t>Follow-up per paziente con patologia gastrica pregressa</w:t>
      </w:r>
    </w:p>
    <w:p w14:paraId="4EA4324F" w14:textId="77777777" w:rsidR="00C77143" w:rsidRPr="00955A9B" w:rsidRDefault="00C77143" w:rsidP="00955A9B">
      <w:pPr>
        <w:spacing w:line="360" w:lineRule="auto"/>
        <w:jc w:val="both"/>
        <w:rPr>
          <w:rFonts w:ascii="Times New Roman" w:eastAsia="Times New Roman" w:hAnsi="Times New Roman" w:cs="Times New Roman"/>
          <w:sz w:val="24"/>
          <w:szCs w:val="24"/>
        </w:rPr>
      </w:pPr>
    </w:p>
    <w:p w14:paraId="0C2ADEAA" w14:textId="77777777" w:rsidR="00C77143" w:rsidRPr="00955A9B" w:rsidRDefault="00C77143"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PERCORSO DIAGNOSTICO/STADIATIVO PER PAZIENTE CON SOSPETTA NEOPLASIA GASTRICA.</w:t>
      </w:r>
    </w:p>
    <w:p w14:paraId="5AE28B72" w14:textId="2DF748DB" w:rsidR="00C77143" w:rsidRPr="00955A9B" w:rsidRDefault="00C77143"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 xml:space="preserve">I tumori dello stomaco sono </w:t>
      </w:r>
      <w:r w:rsidR="00B0582E" w:rsidRPr="00955A9B">
        <w:rPr>
          <w:rFonts w:ascii="Times New Roman" w:eastAsia="Times New Roman" w:hAnsi="Times New Roman" w:cs="Times New Roman"/>
          <w:sz w:val="24"/>
          <w:szCs w:val="24"/>
        </w:rPr>
        <w:t xml:space="preserve">quasi sempre </w:t>
      </w:r>
      <w:r w:rsidRPr="00955A9B">
        <w:rPr>
          <w:rFonts w:ascii="Times New Roman" w:eastAsia="Times New Roman" w:hAnsi="Times New Roman" w:cs="Times New Roman"/>
          <w:sz w:val="24"/>
          <w:szCs w:val="24"/>
        </w:rPr>
        <w:t>asintomatici nelle fasi iniziali (early gastric cancer) e solo tardivamente possono manifestarsi con sintomi e segni per lo più aspecifici, che sono spesso causa di un ritardo diagnostico, in quanto trattati come patologie gastriche benigne (gastrite, ulcera gastrica</w:t>
      </w:r>
      <w:r w:rsidR="009C039C" w:rsidRPr="00955A9B">
        <w:rPr>
          <w:rFonts w:ascii="Times New Roman" w:eastAsia="Times New Roman" w:hAnsi="Times New Roman" w:cs="Times New Roman"/>
          <w:sz w:val="24"/>
          <w:szCs w:val="24"/>
        </w:rPr>
        <w:t>, reflusso gastro-esofageo e dispepsia</w:t>
      </w:r>
      <w:r w:rsidRPr="00955A9B">
        <w:rPr>
          <w:rFonts w:ascii="Times New Roman" w:eastAsia="Times New Roman" w:hAnsi="Times New Roman" w:cs="Times New Roman"/>
          <w:sz w:val="24"/>
          <w:szCs w:val="24"/>
        </w:rPr>
        <w:t>). Donne ed uomini di almeno 18 anni con sospetto clinico di neoplasia dello stomaco (es. calo ponderale, anoressia, epigastralgia refrattaria ai comuni trattamenti, disfagia, ematemesi, sarcofobia, melena, anemizzazione cronica con astenia e pallore, comparsa di tumefazioni linfonodali sospette) dovranno afferire, opportunamente indirizzate dal proprio MMG o altro medico specialista di riferimento, presso un centro oncologic</w:t>
      </w:r>
      <w:r w:rsidR="00DC7533" w:rsidRPr="00955A9B">
        <w:rPr>
          <w:rFonts w:ascii="Times New Roman" w:eastAsia="Times New Roman" w:hAnsi="Times New Roman" w:cs="Times New Roman"/>
          <w:sz w:val="24"/>
          <w:szCs w:val="24"/>
        </w:rPr>
        <w:t>o</w:t>
      </w:r>
      <w:r w:rsidRPr="00955A9B">
        <w:rPr>
          <w:rFonts w:ascii="Times New Roman" w:eastAsia="Times New Roman" w:hAnsi="Times New Roman" w:cs="Times New Roman"/>
          <w:sz w:val="24"/>
          <w:szCs w:val="24"/>
        </w:rPr>
        <w:t xml:space="preserve"> di II livello per la valutazione del caso da parte del Gruppo Oncologico Multidisciplinare (GOM) specifico per la patologia tumorale gastrica. Il/la paziente effettuerà la prima visita necessaria per l’inquadramento del problema presso l’ambulatorio dedicato alla patologia. L’infermiere Case Manager incaricato dal GOM si occuperà della prenotazione degli esami laboratoristici, radiologici e/o cito/istologici necessari per la diagnosi, in Rete interna alla struttura o di indirizzare, su indicazione degli specialisti del GOM, il cittadino presso le strutture della Rete Oncologica Regionale. In caso di mancanza di tale figura di coordinamento, tale incarico sarà ricoperto periodicamente da un medico afferente al GOM. (Figura 1)</w:t>
      </w:r>
      <w:r w:rsidR="00CC14B6"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Nel caso in cui gli approfondimenti diagnostici risultino negativi per malignità, il/la paziente sarà indirizzato/a all’inquadramento del problema da parte del MMG.</w:t>
      </w:r>
    </w:p>
    <w:p w14:paraId="3B4CDE7D" w14:textId="5C7EC2A7" w:rsidR="00C77143" w:rsidRPr="00955A9B" w:rsidRDefault="00C77143" w:rsidP="00955A9B">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 xml:space="preserve">I casi dubbi o d’incerta interpretazione saranno sottoposti agli approfondimenti che saranno ritenuti più opportuni caso per </w:t>
      </w:r>
      <w:r w:rsidR="00DD089C" w:rsidRPr="00955A9B">
        <w:rPr>
          <w:rFonts w:ascii="Times New Roman" w:eastAsia="Times New Roman" w:hAnsi="Times New Roman" w:cs="Times New Roman"/>
          <w:sz w:val="24"/>
          <w:szCs w:val="24"/>
        </w:rPr>
        <w:t xml:space="preserve">il </w:t>
      </w:r>
      <w:r w:rsidRPr="00955A9B">
        <w:rPr>
          <w:rFonts w:ascii="Times New Roman" w:eastAsia="Times New Roman" w:hAnsi="Times New Roman" w:cs="Times New Roman"/>
          <w:sz w:val="24"/>
          <w:szCs w:val="24"/>
        </w:rPr>
        <w:t>caso.</w:t>
      </w:r>
    </w:p>
    <w:p w14:paraId="158F27B4" w14:textId="1B7F638F" w:rsidR="00C77143" w:rsidRDefault="00C77143"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 xml:space="preserve">Nel caso in cui gli esami diagnostici confermino il sospetto di malignità, il/la paziente </w:t>
      </w:r>
      <w:r w:rsidR="00CC14B6" w:rsidRPr="00955A9B">
        <w:rPr>
          <w:rFonts w:ascii="Times New Roman" w:eastAsia="Times New Roman" w:hAnsi="Times New Roman" w:cs="Times New Roman"/>
          <w:sz w:val="24"/>
          <w:szCs w:val="24"/>
        </w:rPr>
        <w:t>sarà sottoposto</w:t>
      </w:r>
      <w:r w:rsidRPr="00955A9B">
        <w:rPr>
          <w:rFonts w:ascii="Times New Roman" w:eastAsia="Times New Roman" w:hAnsi="Times New Roman" w:cs="Times New Roman"/>
          <w:sz w:val="24"/>
          <w:szCs w:val="24"/>
        </w:rPr>
        <w:t xml:space="preserve"> agli opportuni esami clinico- strumentali di stadiazione, riportati in tabella 2, conformemente a quanto previsto dalle più recenti linee guida nazionali ed internazionali (AIOM, NCCN, ESMO), sulla base dello stadio TNM, al fine di impostare il più adeguato percorso terapeutico. Tali esami potranno essere praticati presso i centri di I e II livello della Rete, su indirizzo del GOM responsabile della Presa in Carico.</w:t>
      </w:r>
    </w:p>
    <w:p w14:paraId="011B2624" w14:textId="5C7EB984" w:rsidR="002A0444" w:rsidRDefault="002A0444" w:rsidP="00955A9B">
      <w:pPr>
        <w:spacing w:line="360" w:lineRule="auto"/>
        <w:jc w:val="both"/>
        <w:rPr>
          <w:rFonts w:ascii="Times New Roman" w:eastAsia="Times New Roman" w:hAnsi="Times New Roman" w:cs="Times New Roman"/>
          <w:sz w:val="24"/>
          <w:szCs w:val="24"/>
        </w:rPr>
      </w:pPr>
    </w:p>
    <w:p w14:paraId="312C8347" w14:textId="77777777" w:rsidR="00CC14B6" w:rsidRPr="00955A9B" w:rsidRDefault="00CC14B6"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Figura 1: Percorso diagnostico in casi di sospetto clinico di neoplasia gastrica</w:t>
      </w:r>
    </w:p>
    <w:p w14:paraId="12DA2B1E" w14:textId="360CD673" w:rsidR="00C77143" w:rsidRPr="00955A9B" w:rsidRDefault="00EE0F5E" w:rsidP="00955A9B">
      <w:pPr>
        <w:spacing w:line="360" w:lineRule="auto"/>
        <w:jc w:val="both"/>
        <w:rPr>
          <w:rFonts w:ascii="Times New Roman" w:hAnsi="Times New Roman" w:cs="Times New Roman"/>
          <w:sz w:val="24"/>
          <w:szCs w:val="24"/>
        </w:rPr>
      </w:pPr>
      <w:r w:rsidRPr="00955A9B">
        <w:rPr>
          <w:rFonts w:ascii="Times New Roman" w:hAnsi="Times New Roman" w:cs="Times New Roman"/>
          <w:noProof/>
          <w:sz w:val="24"/>
          <w:szCs w:val="24"/>
          <w:lang w:eastAsia="it-IT"/>
        </w:rPr>
        <w:drawing>
          <wp:inline distT="0" distB="0" distL="0" distR="0" wp14:anchorId="581A40EB" wp14:editId="2593E6E0">
            <wp:extent cx="6115050" cy="330517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14:paraId="109D5977" w14:textId="161441A6" w:rsidR="00C77143" w:rsidRPr="00955A9B" w:rsidRDefault="00C77143" w:rsidP="00955A9B">
      <w:pPr>
        <w:spacing w:line="360" w:lineRule="auto"/>
        <w:jc w:val="both"/>
        <w:rPr>
          <w:rFonts w:ascii="Times New Roman" w:eastAsia="Times New Roman" w:hAnsi="Times New Roman" w:cs="Times New Roman"/>
          <w:b/>
          <w:sz w:val="24"/>
          <w:szCs w:val="24"/>
        </w:rPr>
      </w:pPr>
    </w:p>
    <w:p w14:paraId="20EE4755" w14:textId="49DD9596" w:rsidR="00CC14B6" w:rsidRPr="00955A9B" w:rsidRDefault="00CC14B6" w:rsidP="00955A9B">
      <w:pPr>
        <w:spacing w:line="360" w:lineRule="auto"/>
        <w:jc w:val="both"/>
        <w:rPr>
          <w:rFonts w:ascii="Times New Roman" w:eastAsia="Times New Roman" w:hAnsi="Times New Roman" w:cs="Times New Roman"/>
          <w:b/>
          <w:sz w:val="24"/>
          <w:szCs w:val="24"/>
        </w:rPr>
      </w:pPr>
    </w:p>
    <w:p w14:paraId="7F7DE2B9" w14:textId="14A972B2" w:rsidR="00C77143" w:rsidRPr="00955A9B" w:rsidRDefault="00C77143"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Tabella 2. Percorso stadiativo-assistenziale per tumore dello stomaco</w:t>
      </w:r>
    </w:p>
    <w:tbl>
      <w:tblPr>
        <w:tblW w:w="9700" w:type="dxa"/>
        <w:tblInd w:w="-10" w:type="dxa"/>
        <w:tblLayout w:type="fixed"/>
        <w:tblCellMar>
          <w:left w:w="0" w:type="dxa"/>
          <w:right w:w="0" w:type="dxa"/>
        </w:tblCellMar>
        <w:tblLook w:val="0000" w:firstRow="0" w:lastRow="0" w:firstColumn="0" w:lastColumn="0" w:noHBand="0" w:noVBand="0"/>
      </w:tblPr>
      <w:tblGrid>
        <w:gridCol w:w="39"/>
        <w:gridCol w:w="4796"/>
        <w:gridCol w:w="30"/>
        <w:gridCol w:w="4794"/>
        <w:gridCol w:w="41"/>
      </w:tblGrid>
      <w:tr w:rsidR="0074421F" w:rsidRPr="00955A9B" w14:paraId="0DC8EA16" w14:textId="77777777" w:rsidTr="001F6F3D">
        <w:trPr>
          <w:gridBefore w:val="1"/>
          <w:wBefore w:w="39" w:type="dxa"/>
          <w:trHeight w:val="595"/>
        </w:trPr>
        <w:tc>
          <w:tcPr>
            <w:tcW w:w="4796" w:type="dxa"/>
            <w:vMerge w:val="restart"/>
            <w:tcBorders>
              <w:top w:val="single" w:sz="8" w:space="0" w:color="auto"/>
              <w:left w:val="single" w:sz="8" w:space="0" w:color="auto"/>
              <w:right w:val="single" w:sz="8" w:space="0" w:color="auto"/>
            </w:tcBorders>
            <w:shd w:val="clear" w:color="auto" w:fill="auto"/>
            <w:vAlign w:val="bottom"/>
          </w:tcPr>
          <w:p w14:paraId="1B6FD1C3" w14:textId="4ABD5410" w:rsidR="0074421F" w:rsidRPr="00955A9B" w:rsidRDefault="0074421F" w:rsidP="00955A9B">
            <w:pPr>
              <w:spacing w:line="240" w:lineRule="auto"/>
              <w:ind w:left="120"/>
              <w:rPr>
                <w:rFonts w:ascii="Times New Roman" w:eastAsia="Times New Roman" w:hAnsi="Times New Roman" w:cs="Times New Roman"/>
                <w:szCs w:val="24"/>
              </w:rPr>
            </w:pPr>
            <w:r w:rsidRPr="00955A9B">
              <w:rPr>
                <w:rFonts w:ascii="Times New Roman" w:eastAsia="Times New Roman" w:hAnsi="Times New Roman" w:cs="Times New Roman"/>
                <w:szCs w:val="24"/>
              </w:rPr>
              <w:t>Malattia localizzata</w:t>
            </w:r>
          </w:p>
        </w:tc>
        <w:tc>
          <w:tcPr>
            <w:tcW w:w="30" w:type="dxa"/>
            <w:tcBorders>
              <w:top w:val="single" w:sz="8" w:space="0" w:color="auto"/>
            </w:tcBorders>
            <w:shd w:val="clear" w:color="auto" w:fill="auto"/>
            <w:vAlign w:val="bottom"/>
          </w:tcPr>
          <w:p w14:paraId="2BCEF7BD"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val="restart"/>
            <w:tcBorders>
              <w:top w:val="single" w:sz="8" w:space="0" w:color="auto"/>
              <w:right w:val="single" w:sz="8" w:space="0" w:color="auto"/>
            </w:tcBorders>
            <w:shd w:val="clear" w:color="auto" w:fill="auto"/>
            <w:vAlign w:val="bottom"/>
          </w:tcPr>
          <w:p w14:paraId="297C057A"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Anamnesi ed esame obiettivo</w:t>
            </w:r>
          </w:p>
          <w:p w14:paraId="15EAED05"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Emocromo e routine ematochimica</w:t>
            </w:r>
          </w:p>
          <w:p w14:paraId="7093882B"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Marcatori tumorali (CEA, CA19.9, CA125)</w:t>
            </w:r>
          </w:p>
          <w:p w14:paraId="66DBD207" w14:textId="13DA6B1A"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TC  encefalo-collo-torace-addome e pelvi con mdc</w:t>
            </w:r>
          </w:p>
          <w:p w14:paraId="1A1552DA"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EGDS o Ecoendoscopia con biopsie multiple (6)</w:t>
            </w:r>
          </w:p>
          <w:p w14:paraId="3F1835C9"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Valutazione anatomopatologica comprendente</w:t>
            </w:r>
          </w:p>
          <w:p w14:paraId="1ED42987"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l’istotipo (secondo Lauren) e grading</w:t>
            </w:r>
          </w:p>
          <w:p w14:paraId="4C49DAC9"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oncogenetico se sospetta</w:t>
            </w:r>
          </w:p>
          <w:p w14:paraId="485B3A72"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ereditarietà</w:t>
            </w:r>
          </w:p>
          <w:p w14:paraId="6EDDF0B1"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oncofertilità, se pazienti in età</w:t>
            </w:r>
          </w:p>
          <w:p w14:paraId="5367A8DE"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fertile con necessità di trattamenti antiblastici</w:t>
            </w:r>
          </w:p>
          <w:p w14:paraId="4AC61C26"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psicologico</w:t>
            </w:r>
          </w:p>
          <w:p w14:paraId="2D32ACEE"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Supporto nutrizionistico</w:t>
            </w:r>
          </w:p>
          <w:p w14:paraId="0C20F91C" w14:textId="77777777" w:rsidR="0074421F" w:rsidRPr="00097D31" w:rsidRDefault="0074421F" w:rsidP="00955A9B">
            <w:pPr>
              <w:spacing w:line="240" w:lineRule="auto"/>
              <w:rPr>
                <w:rFonts w:ascii="Times New Roman" w:eastAsia="Times New Roman" w:hAnsi="Times New Roman" w:cs="Times New Roman"/>
                <w:b/>
                <w:bCs/>
                <w:szCs w:val="24"/>
              </w:rPr>
            </w:pPr>
            <w:r w:rsidRPr="00097D31">
              <w:rPr>
                <w:rFonts w:ascii="Times New Roman" w:eastAsia="Times New Roman" w:hAnsi="Times New Roman" w:cs="Times New Roman"/>
                <w:b/>
                <w:bCs/>
                <w:szCs w:val="24"/>
              </w:rPr>
              <w:t>Esami di II livello in casi selezionati e/o</w:t>
            </w:r>
          </w:p>
          <w:p w14:paraId="6801680F" w14:textId="77777777" w:rsidR="0074421F" w:rsidRPr="00955A9B" w:rsidRDefault="0074421F" w:rsidP="00955A9B">
            <w:pPr>
              <w:spacing w:line="240" w:lineRule="auto"/>
              <w:rPr>
                <w:rFonts w:ascii="Times New Roman" w:eastAsia="Times New Roman" w:hAnsi="Times New Roman" w:cs="Times New Roman"/>
                <w:szCs w:val="24"/>
              </w:rPr>
            </w:pPr>
            <w:r w:rsidRPr="00097D31">
              <w:rPr>
                <w:rFonts w:ascii="Times New Roman" w:eastAsia="Times New Roman" w:hAnsi="Times New Roman" w:cs="Times New Roman"/>
                <w:b/>
                <w:bCs/>
                <w:szCs w:val="24"/>
              </w:rPr>
              <w:t>sintomatici</w:t>
            </w:r>
            <w:r w:rsidRPr="00955A9B">
              <w:rPr>
                <w:rFonts w:ascii="Times New Roman" w:eastAsia="Times New Roman" w:hAnsi="Times New Roman" w:cs="Times New Roman"/>
                <w:szCs w:val="24"/>
              </w:rPr>
              <w:t>: RMN addome (o altra sede) con mdc</w:t>
            </w:r>
          </w:p>
          <w:p w14:paraId="1901ECD4"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Scintigrafia ossea total body</w:t>
            </w:r>
          </w:p>
          <w:p w14:paraId="3E02D597" w14:textId="79E751A3"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Laparoscopia esplorativa</w:t>
            </w:r>
          </w:p>
        </w:tc>
      </w:tr>
      <w:tr w:rsidR="0074421F" w:rsidRPr="00955A9B" w14:paraId="2998AFBD"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6FC8F481" w14:textId="7539F01C"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0B58E0A4"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6BAEBD15" w14:textId="31BFE334"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0FAFBB76"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619AA8B8" w14:textId="2B416557"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05478A7E"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2498A99D" w14:textId="1614D4F5"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A1D0A48" w14:textId="77777777" w:rsidTr="001F6F3D">
        <w:trPr>
          <w:gridBefore w:val="1"/>
          <w:wBefore w:w="39" w:type="dxa"/>
          <w:trHeight w:val="319"/>
        </w:trPr>
        <w:tc>
          <w:tcPr>
            <w:tcW w:w="4796" w:type="dxa"/>
            <w:vMerge/>
            <w:tcBorders>
              <w:left w:val="single" w:sz="8" w:space="0" w:color="auto"/>
              <w:right w:val="single" w:sz="8" w:space="0" w:color="auto"/>
            </w:tcBorders>
            <w:shd w:val="clear" w:color="auto" w:fill="auto"/>
            <w:vAlign w:val="bottom"/>
          </w:tcPr>
          <w:p w14:paraId="63B76605" w14:textId="201AAEF0"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0DD1CAF3"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44638CCA" w14:textId="599F372E"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AFA707A"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07205163" w14:textId="2B163447"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7DDF05A6"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6FE8A478" w14:textId="26862175"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56EB7035"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04B9CCEB" w14:textId="5A9ABCD7"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66F7099E"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2E38DFB8" w14:textId="03C57159"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43FC927"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213C7D58" w14:textId="1C87A9C7"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28A15583"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505A5370" w14:textId="38BF3680"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6DB8F211" w14:textId="77777777" w:rsidTr="001F6F3D">
        <w:trPr>
          <w:gridBefore w:val="1"/>
          <w:wBefore w:w="39" w:type="dxa"/>
          <w:trHeight w:val="319"/>
        </w:trPr>
        <w:tc>
          <w:tcPr>
            <w:tcW w:w="4796" w:type="dxa"/>
            <w:vMerge/>
            <w:tcBorders>
              <w:left w:val="single" w:sz="8" w:space="0" w:color="auto"/>
              <w:right w:val="single" w:sz="8" w:space="0" w:color="auto"/>
            </w:tcBorders>
            <w:shd w:val="clear" w:color="auto" w:fill="auto"/>
            <w:vAlign w:val="bottom"/>
          </w:tcPr>
          <w:p w14:paraId="0E14B25D" w14:textId="49644B1F"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4B0B616B"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0EA5123A" w14:textId="5482D8D9"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799A372C"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6B2B5C73" w14:textId="406EDB04"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7986A5BB"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3D90DDD0" w14:textId="2B4BE2DD"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1E74F567"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2C437F2F" w14:textId="562374FF"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3472ECA4"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37ED1CC1" w14:textId="5B527181"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548DB5E0"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07F7295E"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FFAB06C"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3F4EFEB2" w14:textId="1BE96C5F"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C4219BA" w14:textId="77777777" w:rsidTr="001F6F3D">
        <w:trPr>
          <w:gridBefore w:val="1"/>
          <w:wBefore w:w="39" w:type="dxa"/>
          <w:trHeight w:val="319"/>
        </w:trPr>
        <w:tc>
          <w:tcPr>
            <w:tcW w:w="4796" w:type="dxa"/>
            <w:vMerge/>
            <w:tcBorders>
              <w:left w:val="single" w:sz="8" w:space="0" w:color="auto"/>
              <w:right w:val="single" w:sz="8" w:space="0" w:color="auto"/>
            </w:tcBorders>
            <w:shd w:val="clear" w:color="auto" w:fill="auto"/>
            <w:vAlign w:val="bottom"/>
          </w:tcPr>
          <w:p w14:paraId="5B872997"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6B53702D"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7B0364E2" w14:textId="12844C10"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A95218D"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1EE1D681"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58EED5D9"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5D8ECE81" w14:textId="7CB0305E"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14576B7" w14:textId="77777777" w:rsidTr="001F6F3D">
        <w:trPr>
          <w:gridBefore w:val="1"/>
          <w:wBefore w:w="39" w:type="dxa"/>
          <w:trHeight w:val="293"/>
        </w:trPr>
        <w:tc>
          <w:tcPr>
            <w:tcW w:w="4796" w:type="dxa"/>
            <w:vMerge/>
            <w:tcBorders>
              <w:left w:val="single" w:sz="8" w:space="0" w:color="auto"/>
              <w:right w:val="single" w:sz="8" w:space="0" w:color="auto"/>
            </w:tcBorders>
            <w:shd w:val="clear" w:color="auto" w:fill="auto"/>
            <w:vAlign w:val="bottom"/>
          </w:tcPr>
          <w:p w14:paraId="5634ED45"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477F621B"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7CE3912D" w14:textId="238E81DB"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FF70399" w14:textId="77777777" w:rsidTr="001040D4">
        <w:trPr>
          <w:gridBefore w:val="1"/>
          <w:wBefore w:w="39" w:type="dxa"/>
          <w:trHeight w:val="297"/>
        </w:trPr>
        <w:tc>
          <w:tcPr>
            <w:tcW w:w="4796" w:type="dxa"/>
            <w:vMerge/>
            <w:tcBorders>
              <w:left w:val="single" w:sz="8" w:space="0" w:color="auto"/>
              <w:right w:val="single" w:sz="8" w:space="0" w:color="auto"/>
            </w:tcBorders>
            <w:shd w:val="clear" w:color="auto" w:fill="auto"/>
            <w:vAlign w:val="bottom"/>
          </w:tcPr>
          <w:p w14:paraId="20E81EA1"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03EBB94B"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240431CB" w14:textId="3FEE686D"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519C935C" w14:textId="77777777" w:rsidTr="001F6F3D">
        <w:trPr>
          <w:gridBefore w:val="1"/>
          <w:wBefore w:w="39" w:type="dxa"/>
          <w:trHeight w:val="323"/>
        </w:trPr>
        <w:tc>
          <w:tcPr>
            <w:tcW w:w="4796" w:type="dxa"/>
            <w:vMerge/>
            <w:tcBorders>
              <w:left w:val="single" w:sz="8" w:space="0" w:color="auto"/>
              <w:right w:val="single" w:sz="8" w:space="0" w:color="auto"/>
            </w:tcBorders>
            <w:shd w:val="clear" w:color="auto" w:fill="auto"/>
            <w:vAlign w:val="bottom"/>
          </w:tcPr>
          <w:p w14:paraId="5251F007"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C722884"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32891FFA" w14:textId="54458061" w:rsidR="0074421F" w:rsidRPr="00955A9B" w:rsidRDefault="0074421F" w:rsidP="00955A9B">
            <w:pPr>
              <w:spacing w:line="240" w:lineRule="auto"/>
              <w:rPr>
                <w:rFonts w:ascii="Times New Roman" w:eastAsia="Times New Roman" w:hAnsi="Times New Roman" w:cs="Times New Roman"/>
                <w:szCs w:val="24"/>
              </w:rPr>
            </w:pPr>
          </w:p>
        </w:tc>
      </w:tr>
      <w:tr w:rsidR="00955A9B" w:rsidRPr="00955A9B" w14:paraId="7F74283A" w14:textId="77777777" w:rsidTr="001F6F3D">
        <w:trPr>
          <w:gridBefore w:val="1"/>
          <w:wBefore w:w="39" w:type="dxa"/>
          <w:trHeight w:val="366"/>
        </w:trPr>
        <w:tc>
          <w:tcPr>
            <w:tcW w:w="4796" w:type="dxa"/>
            <w:tcBorders>
              <w:left w:val="single" w:sz="8" w:space="0" w:color="auto"/>
              <w:bottom w:val="single" w:sz="8" w:space="0" w:color="auto"/>
              <w:right w:val="single" w:sz="8" w:space="0" w:color="auto"/>
            </w:tcBorders>
            <w:shd w:val="clear" w:color="auto" w:fill="F4B083" w:themeFill="accent2" w:themeFillTint="99"/>
            <w:vAlign w:val="bottom"/>
          </w:tcPr>
          <w:p w14:paraId="55DD1355" w14:textId="77777777" w:rsidR="00C77143" w:rsidRPr="00955A9B" w:rsidRDefault="00C77143" w:rsidP="00955A9B">
            <w:pPr>
              <w:spacing w:line="240" w:lineRule="auto"/>
              <w:rPr>
                <w:rFonts w:ascii="Times New Roman" w:eastAsia="Times New Roman" w:hAnsi="Times New Roman" w:cs="Times New Roman"/>
                <w:szCs w:val="24"/>
                <w:lang w:val="en-US"/>
              </w:rPr>
            </w:pPr>
          </w:p>
        </w:tc>
        <w:tc>
          <w:tcPr>
            <w:tcW w:w="30" w:type="dxa"/>
            <w:tcBorders>
              <w:bottom w:val="single" w:sz="8" w:space="0" w:color="auto"/>
            </w:tcBorders>
            <w:shd w:val="clear" w:color="auto" w:fill="F4B083" w:themeFill="accent2" w:themeFillTint="99"/>
            <w:vAlign w:val="bottom"/>
          </w:tcPr>
          <w:p w14:paraId="1D3B9519" w14:textId="77777777" w:rsidR="00C77143" w:rsidRPr="00955A9B" w:rsidRDefault="00C77143" w:rsidP="00955A9B">
            <w:pPr>
              <w:spacing w:line="240" w:lineRule="auto"/>
              <w:rPr>
                <w:rFonts w:ascii="Times New Roman" w:eastAsia="Times New Roman" w:hAnsi="Times New Roman" w:cs="Times New Roman"/>
                <w:szCs w:val="24"/>
                <w:lang w:val="en-US"/>
              </w:rPr>
            </w:pPr>
          </w:p>
        </w:tc>
        <w:tc>
          <w:tcPr>
            <w:tcW w:w="4835" w:type="dxa"/>
            <w:gridSpan w:val="2"/>
            <w:tcBorders>
              <w:bottom w:val="single" w:sz="8" w:space="0" w:color="auto"/>
              <w:right w:val="single" w:sz="8" w:space="0" w:color="auto"/>
            </w:tcBorders>
            <w:shd w:val="clear" w:color="auto" w:fill="F4B083" w:themeFill="accent2" w:themeFillTint="99"/>
            <w:vAlign w:val="bottom"/>
          </w:tcPr>
          <w:p w14:paraId="11D3A52B" w14:textId="77777777" w:rsidR="00C77143" w:rsidRPr="00955A9B" w:rsidRDefault="00C77143" w:rsidP="00955A9B">
            <w:pPr>
              <w:spacing w:line="240" w:lineRule="auto"/>
              <w:rPr>
                <w:rFonts w:ascii="Times New Roman" w:eastAsia="Times New Roman" w:hAnsi="Times New Roman" w:cs="Times New Roman"/>
                <w:szCs w:val="24"/>
                <w:lang w:val="en-US"/>
              </w:rPr>
            </w:pPr>
          </w:p>
        </w:tc>
      </w:tr>
      <w:tr w:rsidR="0074421F" w:rsidRPr="00955A9B" w14:paraId="4EA9FF68" w14:textId="77777777" w:rsidTr="001F6F3D">
        <w:trPr>
          <w:gridBefore w:val="1"/>
          <w:wBefore w:w="39" w:type="dxa"/>
          <w:trHeight w:val="577"/>
        </w:trPr>
        <w:tc>
          <w:tcPr>
            <w:tcW w:w="4796" w:type="dxa"/>
            <w:vMerge w:val="restart"/>
            <w:tcBorders>
              <w:left w:val="single" w:sz="8" w:space="0" w:color="auto"/>
              <w:right w:val="single" w:sz="8" w:space="0" w:color="auto"/>
            </w:tcBorders>
            <w:shd w:val="clear" w:color="auto" w:fill="auto"/>
            <w:vAlign w:val="bottom"/>
          </w:tcPr>
          <w:p w14:paraId="26382F75" w14:textId="7EBECBC2" w:rsidR="0074421F" w:rsidRPr="00955A9B" w:rsidRDefault="0074421F" w:rsidP="00955A9B">
            <w:pPr>
              <w:spacing w:line="240" w:lineRule="auto"/>
              <w:rPr>
                <w:rFonts w:ascii="Times New Roman" w:eastAsia="Times New Roman" w:hAnsi="Times New Roman" w:cs="Times New Roman"/>
                <w:szCs w:val="24"/>
                <w:lang w:val="en-US"/>
              </w:rPr>
            </w:pPr>
            <w:r w:rsidRPr="00955A9B">
              <w:rPr>
                <w:rFonts w:ascii="Times New Roman" w:eastAsia="Times New Roman" w:hAnsi="Times New Roman" w:cs="Times New Roman"/>
                <w:szCs w:val="24"/>
              </w:rPr>
              <w:t>Malattia localmente avanzata</w:t>
            </w:r>
          </w:p>
        </w:tc>
        <w:tc>
          <w:tcPr>
            <w:tcW w:w="30" w:type="dxa"/>
            <w:shd w:val="clear" w:color="auto" w:fill="auto"/>
            <w:vAlign w:val="bottom"/>
          </w:tcPr>
          <w:p w14:paraId="5481750B" w14:textId="77777777" w:rsidR="0074421F" w:rsidRPr="00955A9B" w:rsidRDefault="0074421F" w:rsidP="00955A9B">
            <w:pPr>
              <w:spacing w:line="240" w:lineRule="auto"/>
              <w:rPr>
                <w:rFonts w:ascii="Times New Roman" w:eastAsia="Times New Roman" w:hAnsi="Times New Roman" w:cs="Times New Roman"/>
                <w:szCs w:val="24"/>
                <w:lang w:val="en-US"/>
              </w:rPr>
            </w:pPr>
          </w:p>
        </w:tc>
        <w:tc>
          <w:tcPr>
            <w:tcW w:w="4835" w:type="dxa"/>
            <w:gridSpan w:val="2"/>
            <w:vMerge w:val="restart"/>
            <w:tcBorders>
              <w:right w:val="single" w:sz="8" w:space="0" w:color="auto"/>
            </w:tcBorders>
            <w:shd w:val="clear" w:color="auto" w:fill="auto"/>
            <w:vAlign w:val="bottom"/>
          </w:tcPr>
          <w:p w14:paraId="4532BB46"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Anamnesi ed esame obiettivo</w:t>
            </w:r>
          </w:p>
          <w:p w14:paraId="46474C0A"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Emocromo e routine ematochimica</w:t>
            </w:r>
          </w:p>
          <w:p w14:paraId="383CECC8"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Marcatori tumorali (CEA, CA 19.9, CA 125)</w:t>
            </w:r>
          </w:p>
          <w:p w14:paraId="145483A2"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TC encefalo – collo - torace- addome e pelvi con mdc</w:t>
            </w:r>
          </w:p>
          <w:p w14:paraId="094AA291"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EGDS o Ecoendoscopia con biopsie multiple</w:t>
            </w:r>
          </w:p>
          <w:p w14:paraId="0F4B3772"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Valutazione anatomopatologica comprendente</w:t>
            </w:r>
          </w:p>
          <w:p w14:paraId="539ACEAE"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l’istotipo (sec. Lauren) e grading e la determinazione IHC dello stato di</w:t>
            </w:r>
          </w:p>
          <w:p w14:paraId="74F7C0E0" w14:textId="27C480B7" w:rsidR="0074421F" w:rsidRPr="00955A9B" w:rsidRDefault="0074421F" w:rsidP="00955A9B">
            <w:pPr>
              <w:spacing w:line="240" w:lineRule="auto"/>
              <w:rPr>
                <w:rFonts w:ascii="Times New Roman" w:eastAsia="Times New Roman" w:hAnsi="Times New Roman" w:cs="Times New Roman"/>
                <w:szCs w:val="24"/>
                <w:lang w:val="en-US"/>
              </w:rPr>
            </w:pPr>
            <w:r w:rsidRPr="00955A9B">
              <w:rPr>
                <w:rFonts w:ascii="Times New Roman" w:eastAsia="Times New Roman" w:hAnsi="Times New Roman" w:cs="Times New Roman"/>
                <w:szCs w:val="24"/>
                <w:lang w:val="en-US"/>
              </w:rPr>
              <w:t>HER-2, MSI, PD-L1 CPS</w:t>
            </w:r>
            <w:r w:rsidR="00F9594D">
              <w:rPr>
                <w:rFonts w:ascii="Times New Roman" w:eastAsia="Times New Roman" w:hAnsi="Times New Roman" w:cs="Times New Roman"/>
                <w:szCs w:val="24"/>
                <w:lang w:val="en-US"/>
              </w:rPr>
              <w:t>, Claudina 18.2</w:t>
            </w:r>
          </w:p>
          <w:p w14:paraId="5FAF3F25"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oncogenetico se sospetta</w:t>
            </w:r>
          </w:p>
          <w:p w14:paraId="61164C53"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ereditarietà</w:t>
            </w:r>
          </w:p>
          <w:p w14:paraId="2F7AFCD9"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oncofertilità, se pazienti in età</w:t>
            </w:r>
          </w:p>
          <w:p w14:paraId="1C42CB81"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fertile con necessità di trattamenti antiblastici</w:t>
            </w:r>
          </w:p>
          <w:p w14:paraId="4985CFF5"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psicologico</w:t>
            </w:r>
          </w:p>
          <w:p w14:paraId="2D87B768"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Supporto nutrizionistico</w:t>
            </w:r>
          </w:p>
          <w:p w14:paraId="4A93DC9C"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Valutazione del dolore e terapia antalgica</w:t>
            </w:r>
          </w:p>
          <w:p w14:paraId="25831F9F" w14:textId="77777777" w:rsidR="0074421F" w:rsidRPr="00097D31" w:rsidRDefault="0074421F" w:rsidP="00955A9B">
            <w:pPr>
              <w:spacing w:line="240" w:lineRule="auto"/>
              <w:rPr>
                <w:rFonts w:ascii="Times New Roman" w:eastAsia="Times New Roman" w:hAnsi="Times New Roman" w:cs="Times New Roman"/>
                <w:b/>
                <w:bCs/>
                <w:szCs w:val="24"/>
              </w:rPr>
            </w:pPr>
            <w:r w:rsidRPr="00097D31">
              <w:rPr>
                <w:rFonts w:ascii="Times New Roman" w:eastAsia="Times New Roman" w:hAnsi="Times New Roman" w:cs="Times New Roman"/>
                <w:b/>
                <w:bCs/>
                <w:szCs w:val="24"/>
              </w:rPr>
              <w:t>Esami di II livello in casi selezionati e/o</w:t>
            </w:r>
          </w:p>
          <w:p w14:paraId="3260CD29" w14:textId="77777777" w:rsidR="0074421F" w:rsidRPr="00955A9B" w:rsidRDefault="0074421F" w:rsidP="00955A9B">
            <w:pPr>
              <w:spacing w:line="240" w:lineRule="auto"/>
              <w:rPr>
                <w:rFonts w:ascii="Times New Roman" w:eastAsia="Times New Roman" w:hAnsi="Times New Roman" w:cs="Times New Roman"/>
                <w:szCs w:val="24"/>
              </w:rPr>
            </w:pPr>
            <w:r w:rsidRPr="00097D31">
              <w:rPr>
                <w:rFonts w:ascii="Times New Roman" w:eastAsia="Times New Roman" w:hAnsi="Times New Roman" w:cs="Times New Roman"/>
                <w:b/>
                <w:bCs/>
                <w:szCs w:val="24"/>
              </w:rPr>
              <w:t>sintomatici</w:t>
            </w:r>
            <w:r w:rsidRPr="00955A9B">
              <w:rPr>
                <w:rFonts w:ascii="Times New Roman" w:eastAsia="Times New Roman" w:hAnsi="Times New Roman" w:cs="Times New Roman"/>
                <w:szCs w:val="24"/>
              </w:rPr>
              <w:t>: RMN addome con mdc</w:t>
            </w:r>
          </w:p>
          <w:p w14:paraId="46AB72CA"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RMN encefalo/</w:t>
            </w:r>
          </w:p>
          <w:p w14:paraId="3A5F8181"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18 FDG PET total body</w:t>
            </w:r>
          </w:p>
          <w:p w14:paraId="05740329" w14:textId="7CF80EB2"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Laparoscopia esplorativa</w:t>
            </w:r>
          </w:p>
        </w:tc>
      </w:tr>
      <w:tr w:rsidR="0074421F" w:rsidRPr="00955A9B" w14:paraId="4633FD39"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6AB80581" w14:textId="056B418F"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30B82611"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23992BDA" w14:textId="35E59FDD"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5F918FE7"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538641EE" w14:textId="6E772295"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609C3993"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6459AEBE" w14:textId="097F3F56"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6567EAAE"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6E4A8BCC" w14:textId="380A71BF"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3CE20D1E"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471E030D" w14:textId="61AF4E14"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6663F350" w14:textId="77777777" w:rsidTr="001F6F3D">
        <w:trPr>
          <w:gridBefore w:val="1"/>
          <w:wBefore w:w="39" w:type="dxa"/>
          <w:trHeight w:val="319"/>
        </w:trPr>
        <w:tc>
          <w:tcPr>
            <w:tcW w:w="4796" w:type="dxa"/>
            <w:vMerge/>
            <w:tcBorders>
              <w:left w:val="single" w:sz="8" w:space="0" w:color="auto"/>
              <w:right w:val="single" w:sz="8" w:space="0" w:color="auto"/>
            </w:tcBorders>
            <w:shd w:val="clear" w:color="auto" w:fill="auto"/>
            <w:vAlign w:val="bottom"/>
          </w:tcPr>
          <w:p w14:paraId="5EA2F0B2" w14:textId="1D90EBBD"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BF8D48D"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03FEF0AE" w14:textId="0F991967"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73EBA8C7"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237A356E" w14:textId="424DBF0C"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2608FFC"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6D8073E9" w14:textId="37BB76AA"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6AC80E81"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32B6D34E" w14:textId="7E784C45"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AD5184D"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4C1207F5" w14:textId="6F26075F"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5C11325C"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17E1562A"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3AB340EE"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09CEC2BB" w14:textId="4FBEBF75" w:rsidR="0074421F" w:rsidRPr="00955A9B" w:rsidRDefault="0074421F" w:rsidP="00955A9B">
            <w:pPr>
              <w:spacing w:line="240" w:lineRule="auto"/>
              <w:rPr>
                <w:rFonts w:ascii="Times New Roman" w:eastAsia="Times New Roman" w:hAnsi="Times New Roman" w:cs="Times New Roman"/>
                <w:szCs w:val="24"/>
                <w:lang w:val="en-US"/>
              </w:rPr>
            </w:pPr>
          </w:p>
        </w:tc>
      </w:tr>
      <w:tr w:rsidR="0074421F" w:rsidRPr="00955A9B" w14:paraId="52E2BF41" w14:textId="77777777" w:rsidTr="001F6F3D">
        <w:trPr>
          <w:gridBefore w:val="1"/>
          <w:wBefore w:w="39" w:type="dxa"/>
          <w:trHeight w:val="319"/>
        </w:trPr>
        <w:tc>
          <w:tcPr>
            <w:tcW w:w="4796" w:type="dxa"/>
            <w:vMerge/>
            <w:tcBorders>
              <w:left w:val="single" w:sz="8" w:space="0" w:color="auto"/>
              <w:right w:val="single" w:sz="8" w:space="0" w:color="auto"/>
            </w:tcBorders>
            <w:shd w:val="clear" w:color="auto" w:fill="auto"/>
            <w:vAlign w:val="bottom"/>
          </w:tcPr>
          <w:p w14:paraId="1AC5D6A1" w14:textId="77777777" w:rsidR="0074421F" w:rsidRPr="00955A9B" w:rsidRDefault="0074421F" w:rsidP="00955A9B">
            <w:pPr>
              <w:spacing w:line="240" w:lineRule="auto"/>
              <w:rPr>
                <w:rFonts w:ascii="Times New Roman" w:eastAsia="Times New Roman" w:hAnsi="Times New Roman" w:cs="Times New Roman"/>
                <w:szCs w:val="24"/>
                <w:lang w:val="en-US"/>
              </w:rPr>
            </w:pPr>
          </w:p>
        </w:tc>
        <w:tc>
          <w:tcPr>
            <w:tcW w:w="30" w:type="dxa"/>
            <w:shd w:val="clear" w:color="auto" w:fill="auto"/>
            <w:vAlign w:val="bottom"/>
          </w:tcPr>
          <w:p w14:paraId="32C7A4D9" w14:textId="77777777" w:rsidR="0074421F" w:rsidRPr="00955A9B" w:rsidRDefault="0074421F" w:rsidP="00955A9B">
            <w:pPr>
              <w:spacing w:line="240" w:lineRule="auto"/>
              <w:rPr>
                <w:rFonts w:ascii="Times New Roman" w:eastAsia="Times New Roman" w:hAnsi="Times New Roman" w:cs="Times New Roman"/>
                <w:szCs w:val="24"/>
                <w:lang w:val="en-US"/>
              </w:rPr>
            </w:pPr>
          </w:p>
        </w:tc>
        <w:tc>
          <w:tcPr>
            <w:tcW w:w="4835" w:type="dxa"/>
            <w:gridSpan w:val="2"/>
            <w:vMerge/>
            <w:tcBorders>
              <w:right w:val="single" w:sz="8" w:space="0" w:color="auto"/>
            </w:tcBorders>
            <w:shd w:val="clear" w:color="auto" w:fill="auto"/>
            <w:vAlign w:val="bottom"/>
          </w:tcPr>
          <w:p w14:paraId="300BE1D0" w14:textId="14D7BBDB"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19A9204B"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5FD00085" w14:textId="0E885861"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49B0DB56"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20DB5719" w14:textId="7F989CE4"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723F3BB1" w14:textId="77777777" w:rsidTr="001040D4">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0848984B"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64072DD1"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02758A17" w14:textId="4FBE27E6"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3F6A303" w14:textId="77777777" w:rsidTr="001040D4">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7EE1DD00"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39E848E7"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1F41A228" w14:textId="6C1C6490"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6313B09C" w14:textId="77777777" w:rsidTr="001F6F3D">
        <w:trPr>
          <w:gridBefore w:val="1"/>
          <w:wBefore w:w="39" w:type="dxa"/>
          <w:trHeight w:val="319"/>
        </w:trPr>
        <w:tc>
          <w:tcPr>
            <w:tcW w:w="4796" w:type="dxa"/>
            <w:vMerge/>
            <w:tcBorders>
              <w:left w:val="single" w:sz="8" w:space="0" w:color="auto"/>
              <w:right w:val="single" w:sz="8" w:space="0" w:color="auto"/>
            </w:tcBorders>
            <w:shd w:val="clear" w:color="auto" w:fill="auto"/>
            <w:vAlign w:val="bottom"/>
          </w:tcPr>
          <w:p w14:paraId="17D872B3"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65B4F0E0"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6989B5E3" w14:textId="351B6270"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45415B1"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056B4723"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7F94C3DB"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092AA6F7" w14:textId="4B777F11"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225DF726" w14:textId="77777777" w:rsidTr="001F6F3D">
        <w:trPr>
          <w:gridBefore w:val="1"/>
          <w:wBefore w:w="39" w:type="dxa"/>
          <w:trHeight w:val="317"/>
        </w:trPr>
        <w:tc>
          <w:tcPr>
            <w:tcW w:w="4796" w:type="dxa"/>
            <w:vMerge/>
            <w:tcBorders>
              <w:left w:val="single" w:sz="8" w:space="0" w:color="auto"/>
              <w:right w:val="single" w:sz="8" w:space="0" w:color="auto"/>
            </w:tcBorders>
            <w:shd w:val="clear" w:color="auto" w:fill="auto"/>
            <w:vAlign w:val="bottom"/>
          </w:tcPr>
          <w:p w14:paraId="68D0F779"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33B2C46F"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6C26AA3E" w14:textId="201EC210"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78D58E7A" w14:textId="77777777" w:rsidTr="001F6F3D">
        <w:trPr>
          <w:gridBefore w:val="1"/>
          <w:wBefore w:w="39" w:type="dxa"/>
          <w:trHeight w:val="293"/>
        </w:trPr>
        <w:tc>
          <w:tcPr>
            <w:tcW w:w="4796" w:type="dxa"/>
            <w:vMerge/>
            <w:tcBorders>
              <w:left w:val="single" w:sz="8" w:space="0" w:color="auto"/>
              <w:right w:val="single" w:sz="8" w:space="0" w:color="auto"/>
            </w:tcBorders>
            <w:shd w:val="clear" w:color="auto" w:fill="auto"/>
            <w:vAlign w:val="bottom"/>
          </w:tcPr>
          <w:p w14:paraId="09DF3291"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52A39C46"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69AEFABA" w14:textId="71C1A9F2"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137A2895" w14:textId="77777777" w:rsidTr="001040D4">
        <w:trPr>
          <w:gridBefore w:val="1"/>
          <w:wBefore w:w="39" w:type="dxa"/>
          <w:trHeight w:val="299"/>
        </w:trPr>
        <w:tc>
          <w:tcPr>
            <w:tcW w:w="4796" w:type="dxa"/>
            <w:vMerge/>
            <w:tcBorders>
              <w:left w:val="single" w:sz="8" w:space="0" w:color="auto"/>
              <w:right w:val="single" w:sz="8" w:space="0" w:color="auto"/>
            </w:tcBorders>
            <w:shd w:val="clear" w:color="auto" w:fill="auto"/>
            <w:vAlign w:val="bottom"/>
          </w:tcPr>
          <w:p w14:paraId="33C7E784"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17097CE9"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296B4671" w14:textId="5765401F"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6FB02B6F" w14:textId="77777777" w:rsidTr="001F6F3D">
        <w:trPr>
          <w:gridBefore w:val="1"/>
          <w:wBefore w:w="39" w:type="dxa"/>
          <w:trHeight w:val="320"/>
        </w:trPr>
        <w:tc>
          <w:tcPr>
            <w:tcW w:w="4796" w:type="dxa"/>
            <w:vMerge/>
            <w:tcBorders>
              <w:left w:val="single" w:sz="8" w:space="0" w:color="auto"/>
              <w:right w:val="single" w:sz="8" w:space="0" w:color="auto"/>
            </w:tcBorders>
            <w:shd w:val="clear" w:color="auto" w:fill="auto"/>
            <w:vAlign w:val="bottom"/>
          </w:tcPr>
          <w:p w14:paraId="50739333"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7CE2F8C5" w14:textId="77777777" w:rsidR="0074421F" w:rsidRPr="00955A9B" w:rsidRDefault="0074421F" w:rsidP="00955A9B">
            <w:pPr>
              <w:spacing w:line="240" w:lineRule="auto"/>
              <w:rPr>
                <w:rFonts w:ascii="Times New Roman" w:eastAsia="Times New Roman" w:hAnsi="Times New Roman" w:cs="Times New Roman"/>
                <w:szCs w:val="24"/>
              </w:rPr>
            </w:pPr>
          </w:p>
        </w:tc>
        <w:tc>
          <w:tcPr>
            <w:tcW w:w="4835" w:type="dxa"/>
            <w:gridSpan w:val="2"/>
            <w:vMerge/>
            <w:tcBorders>
              <w:right w:val="single" w:sz="8" w:space="0" w:color="auto"/>
            </w:tcBorders>
            <w:shd w:val="clear" w:color="auto" w:fill="auto"/>
            <w:vAlign w:val="bottom"/>
          </w:tcPr>
          <w:p w14:paraId="2A6E9754" w14:textId="36A17402" w:rsidR="0074421F" w:rsidRPr="00955A9B" w:rsidRDefault="0074421F" w:rsidP="00955A9B">
            <w:pPr>
              <w:spacing w:line="240" w:lineRule="auto"/>
              <w:rPr>
                <w:rFonts w:ascii="Times New Roman" w:eastAsia="Times New Roman" w:hAnsi="Times New Roman" w:cs="Times New Roman"/>
                <w:szCs w:val="24"/>
              </w:rPr>
            </w:pPr>
          </w:p>
        </w:tc>
      </w:tr>
      <w:tr w:rsidR="00955A9B" w:rsidRPr="00955A9B" w14:paraId="56CD0DCC" w14:textId="77777777" w:rsidTr="001F6F3D">
        <w:trPr>
          <w:gridBefore w:val="1"/>
          <w:wBefore w:w="39" w:type="dxa"/>
          <w:trHeight w:val="48"/>
        </w:trPr>
        <w:tc>
          <w:tcPr>
            <w:tcW w:w="4796" w:type="dxa"/>
            <w:tcBorders>
              <w:left w:val="single" w:sz="8" w:space="0" w:color="auto"/>
              <w:bottom w:val="single" w:sz="8" w:space="0" w:color="auto"/>
              <w:right w:val="single" w:sz="8" w:space="0" w:color="auto"/>
            </w:tcBorders>
            <w:shd w:val="clear" w:color="auto" w:fill="F4B083" w:themeFill="accent2" w:themeFillTint="99"/>
            <w:vAlign w:val="bottom"/>
          </w:tcPr>
          <w:p w14:paraId="547F2AD3" w14:textId="77777777" w:rsidR="00C77143" w:rsidRPr="00955A9B" w:rsidRDefault="00C77143" w:rsidP="00955A9B">
            <w:pPr>
              <w:spacing w:line="240" w:lineRule="auto"/>
              <w:rPr>
                <w:rFonts w:ascii="Times New Roman" w:eastAsia="Times New Roman" w:hAnsi="Times New Roman" w:cs="Times New Roman"/>
                <w:szCs w:val="24"/>
              </w:rPr>
            </w:pPr>
          </w:p>
        </w:tc>
        <w:tc>
          <w:tcPr>
            <w:tcW w:w="30" w:type="dxa"/>
            <w:tcBorders>
              <w:bottom w:val="single" w:sz="8" w:space="0" w:color="auto"/>
            </w:tcBorders>
            <w:shd w:val="clear" w:color="auto" w:fill="F4B083" w:themeFill="accent2" w:themeFillTint="99"/>
            <w:vAlign w:val="bottom"/>
          </w:tcPr>
          <w:p w14:paraId="2D9AB0E7" w14:textId="77777777" w:rsidR="00C77143" w:rsidRPr="00955A9B" w:rsidRDefault="00C77143" w:rsidP="00955A9B">
            <w:pPr>
              <w:spacing w:line="240" w:lineRule="auto"/>
              <w:rPr>
                <w:rFonts w:ascii="Times New Roman" w:eastAsia="Times New Roman" w:hAnsi="Times New Roman" w:cs="Times New Roman"/>
                <w:szCs w:val="24"/>
              </w:rPr>
            </w:pPr>
          </w:p>
        </w:tc>
        <w:tc>
          <w:tcPr>
            <w:tcW w:w="4835" w:type="dxa"/>
            <w:gridSpan w:val="2"/>
            <w:tcBorders>
              <w:bottom w:val="single" w:sz="8" w:space="0" w:color="auto"/>
              <w:right w:val="single" w:sz="8" w:space="0" w:color="auto"/>
            </w:tcBorders>
            <w:shd w:val="clear" w:color="auto" w:fill="F4B083" w:themeFill="accent2" w:themeFillTint="99"/>
            <w:vAlign w:val="bottom"/>
          </w:tcPr>
          <w:p w14:paraId="22815600" w14:textId="77777777" w:rsidR="00C77143" w:rsidRPr="00955A9B" w:rsidRDefault="00C77143" w:rsidP="00955A9B">
            <w:pPr>
              <w:spacing w:line="240" w:lineRule="auto"/>
              <w:rPr>
                <w:rFonts w:ascii="Times New Roman" w:eastAsia="Times New Roman" w:hAnsi="Times New Roman" w:cs="Times New Roman"/>
                <w:szCs w:val="24"/>
              </w:rPr>
            </w:pPr>
          </w:p>
        </w:tc>
      </w:tr>
      <w:tr w:rsidR="0074421F" w:rsidRPr="00955A9B" w14:paraId="188B8AC8" w14:textId="77777777" w:rsidTr="001F6F3D">
        <w:trPr>
          <w:gridAfter w:val="1"/>
          <w:wAfter w:w="41" w:type="dxa"/>
          <w:trHeight w:val="577"/>
        </w:trPr>
        <w:tc>
          <w:tcPr>
            <w:tcW w:w="4835" w:type="dxa"/>
            <w:gridSpan w:val="2"/>
            <w:vMerge w:val="restart"/>
            <w:tcBorders>
              <w:left w:val="single" w:sz="8" w:space="0" w:color="auto"/>
              <w:right w:val="single" w:sz="8" w:space="0" w:color="auto"/>
            </w:tcBorders>
            <w:shd w:val="clear" w:color="auto" w:fill="auto"/>
            <w:vAlign w:val="bottom"/>
          </w:tcPr>
          <w:p w14:paraId="1397361C" w14:textId="5F70061A" w:rsidR="0074421F" w:rsidRPr="00955A9B" w:rsidRDefault="0074421F" w:rsidP="00955A9B">
            <w:pPr>
              <w:spacing w:line="240" w:lineRule="auto"/>
              <w:ind w:left="120"/>
              <w:rPr>
                <w:rFonts w:ascii="Times New Roman" w:eastAsia="Times New Roman" w:hAnsi="Times New Roman" w:cs="Times New Roman"/>
                <w:szCs w:val="24"/>
              </w:rPr>
            </w:pPr>
            <w:r w:rsidRPr="00955A9B">
              <w:rPr>
                <w:rFonts w:ascii="Times New Roman" w:eastAsia="Times New Roman" w:hAnsi="Times New Roman" w:cs="Times New Roman"/>
                <w:szCs w:val="24"/>
              </w:rPr>
              <w:t>Malattia metastatica</w:t>
            </w:r>
          </w:p>
        </w:tc>
        <w:tc>
          <w:tcPr>
            <w:tcW w:w="30" w:type="dxa"/>
            <w:shd w:val="clear" w:color="auto" w:fill="auto"/>
            <w:vAlign w:val="bottom"/>
          </w:tcPr>
          <w:p w14:paraId="2B039256"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val="restart"/>
            <w:tcBorders>
              <w:right w:val="single" w:sz="8" w:space="0" w:color="auto"/>
            </w:tcBorders>
            <w:shd w:val="clear" w:color="auto" w:fill="auto"/>
            <w:vAlign w:val="bottom"/>
          </w:tcPr>
          <w:p w14:paraId="77688861"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Anamnesi ed esame obiettivo</w:t>
            </w:r>
          </w:p>
          <w:p w14:paraId="0044EEAC"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Emocromo e routine ematochimica</w:t>
            </w:r>
          </w:p>
          <w:p w14:paraId="6F84F2A8"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Marcatori tumorali (CEA, CA 19.9, CA 125)</w:t>
            </w:r>
          </w:p>
          <w:p w14:paraId="5A5DFD62"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TC encefalo – collo - torace- addome e pelvi con mdc</w:t>
            </w:r>
          </w:p>
          <w:p w14:paraId="62CE8578"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EGDS o Ecoendoscopia con biopsie multiple</w:t>
            </w:r>
          </w:p>
          <w:p w14:paraId="27E349E0"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Valutazione anatomopatologica comprendente</w:t>
            </w:r>
          </w:p>
          <w:p w14:paraId="5595E4D3"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l’istotipo (sec. Lauren) e grading e la determinazione IHC dello stato di</w:t>
            </w:r>
          </w:p>
          <w:p w14:paraId="7278534F" w14:textId="1A855FA5" w:rsidR="0074421F" w:rsidRPr="00955A9B" w:rsidRDefault="0074421F" w:rsidP="00955A9B">
            <w:pPr>
              <w:spacing w:line="240" w:lineRule="auto"/>
              <w:rPr>
                <w:rFonts w:ascii="Times New Roman" w:eastAsia="Times New Roman" w:hAnsi="Times New Roman" w:cs="Times New Roman"/>
                <w:szCs w:val="24"/>
                <w:lang w:val="en-US"/>
              </w:rPr>
            </w:pPr>
            <w:r w:rsidRPr="00955A9B">
              <w:rPr>
                <w:rFonts w:ascii="Times New Roman" w:eastAsia="Times New Roman" w:hAnsi="Times New Roman" w:cs="Times New Roman"/>
                <w:szCs w:val="24"/>
                <w:lang w:val="en-US"/>
              </w:rPr>
              <w:t>HER-2, MSI, PD-L1 CPS</w:t>
            </w:r>
            <w:r w:rsidR="00F9594D">
              <w:rPr>
                <w:rFonts w:ascii="Times New Roman" w:eastAsia="Times New Roman" w:hAnsi="Times New Roman" w:cs="Times New Roman"/>
                <w:szCs w:val="24"/>
                <w:lang w:val="en-US"/>
              </w:rPr>
              <w:t>, Claudina 18.2</w:t>
            </w:r>
          </w:p>
          <w:p w14:paraId="0D20E3AE"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oncogenetico se sospetta</w:t>
            </w:r>
          </w:p>
          <w:p w14:paraId="41CB45EE"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ereditarietà</w:t>
            </w:r>
          </w:p>
          <w:p w14:paraId="2E468C63"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oncofertilità, se pazienti in età</w:t>
            </w:r>
          </w:p>
          <w:p w14:paraId="63846C08"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fertile con necessità di trattamenti antiblastici</w:t>
            </w:r>
          </w:p>
          <w:p w14:paraId="6A316657"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Consueling psicologico</w:t>
            </w:r>
          </w:p>
          <w:p w14:paraId="043005FB"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Supporto nutrizionistico</w:t>
            </w:r>
          </w:p>
          <w:p w14:paraId="416210A7"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Valutazione del dolore e terapia antalgica</w:t>
            </w:r>
          </w:p>
          <w:p w14:paraId="6A259F6C" w14:textId="77777777" w:rsidR="0074421F" w:rsidRPr="00097D31" w:rsidRDefault="0074421F" w:rsidP="00955A9B">
            <w:pPr>
              <w:spacing w:line="240" w:lineRule="auto"/>
              <w:rPr>
                <w:rFonts w:ascii="Times New Roman" w:eastAsia="Times New Roman" w:hAnsi="Times New Roman" w:cs="Times New Roman"/>
                <w:b/>
                <w:bCs/>
                <w:szCs w:val="24"/>
              </w:rPr>
            </w:pPr>
            <w:r w:rsidRPr="00097D31">
              <w:rPr>
                <w:rFonts w:ascii="Times New Roman" w:eastAsia="Times New Roman" w:hAnsi="Times New Roman" w:cs="Times New Roman"/>
                <w:b/>
                <w:bCs/>
                <w:szCs w:val="24"/>
              </w:rPr>
              <w:t>Esami di II livello in casi selezionati e/o</w:t>
            </w:r>
          </w:p>
          <w:p w14:paraId="4061DA63" w14:textId="77777777" w:rsidR="0074421F" w:rsidRPr="00955A9B" w:rsidRDefault="0074421F" w:rsidP="00955A9B">
            <w:pPr>
              <w:spacing w:line="240" w:lineRule="auto"/>
              <w:rPr>
                <w:rFonts w:ascii="Times New Roman" w:eastAsia="Times New Roman" w:hAnsi="Times New Roman" w:cs="Times New Roman"/>
                <w:szCs w:val="24"/>
              </w:rPr>
            </w:pPr>
            <w:r w:rsidRPr="00097D31">
              <w:rPr>
                <w:rFonts w:ascii="Times New Roman" w:eastAsia="Times New Roman" w:hAnsi="Times New Roman" w:cs="Times New Roman"/>
                <w:b/>
                <w:bCs/>
                <w:szCs w:val="24"/>
              </w:rPr>
              <w:t>sintomatici</w:t>
            </w:r>
            <w:r w:rsidRPr="00955A9B">
              <w:rPr>
                <w:rFonts w:ascii="Times New Roman" w:eastAsia="Times New Roman" w:hAnsi="Times New Roman" w:cs="Times New Roman"/>
                <w:szCs w:val="24"/>
              </w:rPr>
              <w:t>: RMN addome con mdc</w:t>
            </w:r>
          </w:p>
          <w:p w14:paraId="0503CDE0"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 xml:space="preserve">RMN encefalo/ </w:t>
            </w:r>
          </w:p>
          <w:p w14:paraId="7DFDCFE8"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Scintigrafia ossea total body</w:t>
            </w:r>
          </w:p>
          <w:p w14:paraId="0D1DE6B4"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18 FDG-PET total body</w:t>
            </w:r>
          </w:p>
          <w:p w14:paraId="4311AFA1" w14:textId="4F283EC3"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Laparoscopia esplorativa</w:t>
            </w:r>
          </w:p>
        </w:tc>
      </w:tr>
      <w:tr w:rsidR="0074421F" w:rsidRPr="00955A9B" w14:paraId="2342E1BB"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3C57E596" w14:textId="7B935D52"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130F778C"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5369F759" w14:textId="6662CD3D"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2EEB0147"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57DA98F3" w14:textId="4EAA5FA4"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782A9032"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13EAB9EA" w14:textId="4321A0CD"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7625F50" w14:textId="77777777" w:rsidTr="001F6F3D">
        <w:trPr>
          <w:gridAfter w:val="1"/>
          <w:wAfter w:w="41" w:type="dxa"/>
          <w:trHeight w:val="319"/>
        </w:trPr>
        <w:tc>
          <w:tcPr>
            <w:tcW w:w="4835" w:type="dxa"/>
            <w:gridSpan w:val="2"/>
            <w:vMerge/>
            <w:tcBorders>
              <w:left w:val="single" w:sz="8" w:space="0" w:color="auto"/>
              <w:right w:val="single" w:sz="8" w:space="0" w:color="auto"/>
            </w:tcBorders>
            <w:shd w:val="clear" w:color="auto" w:fill="auto"/>
            <w:vAlign w:val="bottom"/>
          </w:tcPr>
          <w:p w14:paraId="089CCE46" w14:textId="5B9076C1"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02A1FFDE"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1BE1901D" w14:textId="697FE0C4"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CAFD4A2"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53EF4213" w14:textId="29585949"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1CC6ADB8"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0D032504" w14:textId="1208DD06"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E5808CF"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107D1DF3" w14:textId="40131F40"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2AF2B79D"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3C7ACEB0" w14:textId="66275A90"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208403EC"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2256C2FF" w14:textId="61B247CD"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75836349"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4C84DFA1" w14:textId="6F215CF1"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2CCF4BF" w14:textId="77777777" w:rsidTr="001F6F3D">
        <w:trPr>
          <w:gridAfter w:val="1"/>
          <w:wAfter w:w="41" w:type="dxa"/>
          <w:trHeight w:val="319"/>
        </w:trPr>
        <w:tc>
          <w:tcPr>
            <w:tcW w:w="4835" w:type="dxa"/>
            <w:gridSpan w:val="2"/>
            <w:vMerge/>
            <w:tcBorders>
              <w:left w:val="single" w:sz="8" w:space="0" w:color="auto"/>
              <w:right w:val="single" w:sz="8" w:space="0" w:color="auto"/>
            </w:tcBorders>
            <w:shd w:val="clear" w:color="auto" w:fill="auto"/>
            <w:vAlign w:val="bottom"/>
          </w:tcPr>
          <w:p w14:paraId="039745D0" w14:textId="3C2E0E55"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5D5DDE34"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75226015" w14:textId="16584673" w:rsidR="0074421F" w:rsidRPr="00955A9B" w:rsidRDefault="0074421F" w:rsidP="00955A9B">
            <w:pPr>
              <w:spacing w:line="240" w:lineRule="auto"/>
              <w:rPr>
                <w:rFonts w:ascii="Times New Roman" w:eastAsia="Times New Roman" w:hAnsi="Times New Roman" w:cs="Times New Roman"/>
                <w:szCs w:val="24"/>
                <w:lang w:val="en-US"/>
              </w:rPr>
            </w:pPr>
          </w:p>
        </w:tc>
      </w:tr>
      <w:tr w:rsidR="0074421F" w:rsidRPr="00955A9B" w14:paraId="603B44BD"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4BD62B9D" w14:textId="53E3039F" w:rsidR="0074421F" w:rsidRPr="00955A9B" w:rsidRDefault="0074421F" w:rsidP="00955A9B">
            <w:pPr>
              <w:spacing w:line="240" w:lineRule="auto"/>
              <w:ind w:left="120"/>
              <w:rPr>
                <w:rFonts w:ascii="Times New Roman" w:eastAsia="Times New Roman" w:hAnsi="Times New Roman" w:cs="Times New Roman"/>
                <w:szCs w:val="24"/>
                <w:lang w:val="en-US"/>
              </w:rPr>
            </w:pPr>
          </w:p>
        </w:tc>
        <w:tc>
          <w:tcPr>
            <w:tcW w:w="30" w:type="dxa"/>
            <w:shd w:val="clear" w:color="auto" w:fill="auto"/>
            <w:vAlign w:val="bottom"/>
          </w:tcPr>
          <w:p w14:paraId="7253F2E9" w14:textId="77777777" w:rsidR="0074421F" w:rsidRPr="00955A9B" w:rsidRDefault="0074421F" w:rsidP="00955A9B">
            <w:pPr>
              <w:spacing w:line="240" w:lineRule="auto"/>
              <w:rPr>
                <w:rFonts w:ascii="Times New Roman" w:eastAsia="Times New Roman" w:hAnsi="Times New Roman" w:cs="Times New Roman"/>
                <w:szCs w:val="24"/>
                <w:lang w:val="en-US"/>
              </w:rPr>
            </w:pPr>
          </w:p>
        </w:tc>
        <w:tc>
          <w:tcPr>
            <w:tcW w:w="4794" w:type="dxa"/>
            <w:vMerge/>
            <w:tcBorders>
              <w:right w:val="single" w:sz="8" w:space="0" w:color="auto"/>
            </w:tcBorders>
            <w:shd w:val="clear" w:color="auto" w:fill="auto"/>
            <w:vAlign w:val="bottom"/>
          </w:tcPr>
          <w:p w14:paraId="199ABC6C" w14:textId="5ECEF100"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5EE801C4"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5CC8E7C4" w14:textId="2C8FB79C" w:rsidR="0074421F" w:rsidRPr="00955A9B" w:rsidRDefault="0074421F" w:rsidP="00955A9B">
            <w:pPr>
              <w:spacing w:line="240" w:lineRule="auto"/>
              <w:ind w:left="120"/>
              <w:rPr>
                <w:rFonts w:ascii="Times New Roman" w:eastAsia="Times New Roman" w:hAnsi="Times New Roman" w:cs="Times New Roman"/>
                <w:szCs w:val="24"/>
              </w:rPr>
            </w:pPr>
          </w:p>
        </w:tc>
        <w:tc>
          <w:tcPr>
            <w:tcW w:w="30" w:type="dxa"/>
            <w:shd w:val="clear" w:color="auto" w:fill="auto"/>
            <w:vAlign w:val="bottom"/>
          </w:tcPr>
          <w:p w14:paraId="227033A1"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457970C5" w14:textId="6E29F9DA"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24A29D73"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0598B1FF"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4DF1256E"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3735C3BB" w14:textId="3ED048D4"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0C18D5A1" w14:textId="77777777" w:rsidTr="001F6F3D">
        <w:trPr>
          <w:gridAfter w:val="1"/>
          <w:wAfter w:w="41" w:type="dxa"/>
          <w:trHeight w:val="319"/>
        </w:trPr>
        <w:tc>
          <w:tcPr>
            <w:tcW w:w="4835" w:type="dxa"/>
            <w:gridSpan w:val="2"/>
            <w:vMerge/>
            <w:tcBorders>
              <w:left w:val="single" w:sz="8" w:space="0" w:color="auto"/>
              <w:right w:val="single" w:sz="8" w:space="0" w:color="auto"/>
            </w:tcBorders>
            <w:shd w:val="clear" w:color="auto" w:fill="auto"/>
            <w:vAlign w:val="bottom"/>
          </w:tcPr>
          <w:p w14:paraId="0D7F0751"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5D486D4A"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3E9598EF" w14:textId="27114351"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1CC55F49"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2FC83BEF"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FB00D60"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0FFDF5A4" w14:textId="6F1A2E12"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5CE69084"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5AE52AAA"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4A2AFF9"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1045B2BC" w14:textId="3077E2E7"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A452A8E" w14:textId="77777777" w:rsidTr="001F6F3D">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1442F6F7"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6809217E"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4156CEB7" w14:textId="10A335EF"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4FC543C0" w14:textId="77777777" w:rsidTr="001040D4">
        <w:trPr>
          <w:gridAfter w:val="1"/>
          <w:wAfter w:w="41" w:type="dxa"/>
          <w:trHeight w:val="293"/>
        </w:trPr>
        <w:tc>
          <w:tcPr>
            <w:tcW w:w="4835" w:type="dxa"/>
            <w:gridSpan w:val="2"/>
            <w:vMerge/>
            <w:tcBorders>
              <w:left w:val="single" w:sz="8" w:space="0" w:color="auto"/>
              <w:right w:val="single" w:sz="8" w:space="0" w:color="auto"/>
            </w:tcBorders>
            <w:shd w:val="clear" w:color="auto" w:fill="auto"/>
            <w:vAlign w:val="bottom"/>
          </w:tcPr>
          <w:p w14:paraId="0A7E6EE5"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2F70EA7C"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19E05FBB" w14:textId="070B3773"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EDB51BB" w14:textId="77777777" w:rsidTr="001040D4">
        <w:trPr>
          <w:gridAfter w:val="1"/>
          <w:wAfter w:w="41" w:type="dxa"/>
          <w:trHeight w:val="299"/>
        </w:trPr>
        <w:tc>
          <w:tcPr>
            <w:tcW w:w="4835" w:type="dxa"/>
            <w:gridSpan w:val="2"/>
            <w:vMerge/>
            <w:tcBorders>
              <w:left w:val="single" w:sz="8" w:space="0" w:color="auto"/>
              <w:right w:val="single" w:sz="8" w:space="0" w:color="auto"/>
            </w:tcBorders>
            <w:shd w:val="clear" w:color="auto" w:fill="auto"/>
            <w:vAlign w:val="bottom"/>
          </w:tcPr>
          <w:p w14:paraId="5DC50D24"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6B960999"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75FB2585" w14:textId="4B6F00F6"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1FB31155" w14:textId="77777777" w:rsidTr="001F6F3D">
        <w:trPr>
          <w:gridAfter w:val="1"/>
          <w:wAfter w:w="41" w:type="dxa"/>
          <w:trHeight w:val="321"/>
        </w:trPr>
        <w:tc>
          <w:tcPr>
            <w:tcW w:w="4835" w:type="dxa"/>
            <w:gridSpan w:val="2"/>
            <w:vMerge/>
            <w:tcBorders>
              <w:left w:val="single" w:sz="8" w:space="0" w:color="auto"/>
              <w:right w:val="single" w:sz="8" w:space="0" w:color="auto"/>
            </w:tcBorders>
            <w:shd w:val="clear" w:color="auto" w:fill="auto"/>
            <w:vAlign w:val="bottom"/>
          </w:tcPr>
          <w:p w14:paraId="7EDB5ADB"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4039814A"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7921C5ED" w14:textId="777F36FD"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E86B769" w14:textId="77777777" w:rsidTr="001040D4">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33ACA3A6"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010EF2DF"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35880724" w14:textId="429E82AB" w:rsidR="0074421F" w:rsidRPr="00955A9B" w:rsidRDefault="0074421F" w:rsidP="00955A9B">
            <w:pPr>
              <w:spacing w:line="240" w:lineRule="auto"/>
              <w:rPr>
                <w:rFonts w:ascii="Times New Roman" w:eastAsia="Times New Roman" w:hAnsi="Times New Roman" w:cs="Times New Roman"/>
                <w:szCs w:val="24"/>
              </w:rPr>
            </w:pPr>
          </w:p>
        </w:tc>
      </w:tr>
      <w:tr w:rsidR="0074421F" w:rsidRPr="00955A9B" w14:paraId="35E8D770" w14:textId="77777777" w:rsidTr="001040D4">
        <w:trPr>
          <w:gridAfter w:val="1"/>
          <w:wAfter w:w="41" w:type="dxa"/>
          <w:trHeight w:val="317"/>
        </w:trPr>
        <w:tc>
          <w:tcPr>
            <w:tcW w:w="4835" w:type="dxa"/>
            <w:gridSpan w:val="2"/>
            <w:vMerge/>
            <w:tcBorders>
              <w:left w:val="single" w:sz="8" w:space="0" w:color="auto"/>
              <w:right w:val="single" w:sz="8" w:space="0" w:color="auto"/>
            </w:tcBorders>
            <w:shd w:val="clear" w:color="auto" w:fill="auto"/>
            <w:vAlign w:val="bottom"/>
          </w:tcPr>
          <w:p w14:paraId="51371973" w14:textId="77777777" w:rsidR="0074421F" w:rsidRPr="00955A9B" w:rsidRDefault="0074421F" w:rsidP="00955A9B">
            <w:pPr>
              <w:spacing w:line="240" w:lineRule="auto"/>
              <w:rPr>
                <w:rFonts w:ascii="Times New Roman" w:eastAsia="Times New Roman" w:hAnsi="Times New Roman" w:cs="Times New Roman"/>
                <w:szCs w:val="24"/>
              </w:rPr>
            </w:pPr>
          </w:p>
        </w:tc>
        <w:tc>
          <w:tcPr>
            <w:tcW w:w="30" w:type="dxa"/>
            <w:shd w:val="clear" w:color="auto" w:fill="auto"/>
            <w:vAlign w:val="bottom"/>
          </w:tcPr>
          <w:p w14:paraId="49D8369B" w14:textId="77777777" w:rsidR="0074421F" w:rsidRPr="00955A9B" w:rsidRDefault="0074421F" w:rsidP="00955A9B">
            <w:pPr>
              <w:spacing w:line="240" w:lineRule="auto"/>
              <w:rPr>
                <w:rFonts w:ascii="Times New Roman" w:eastAsia="Times New Roman" w:hAnsi="Times New Roman" w:cs="Times New Roman"/>
                <w:szCs w:val="24"/>
              </w:rPr>
            </w:pPr>
          </w:p>
        </w:tc>
        <w:tc>
          <w:tcPr>
            <w:tcW w:w="4794" w:type="dxa"/>
            <w:vMerge/>
            <w:tcBorders>
              <w:right w:val="single" w:sz="8" w:space="0" w:color="auto"/>
            </w:tcBorders>
            <w:shd w:val="clear" w:color="auto" w:fill="auto"/>
            <w:vAlign w:val="bottom"/>
          </w:tcPr>
          <w:p w14:paraId="06B3AC62" w14:textId="709F60B0" w:rsidR="0074421F" w:rsidRPr="00955A9B" w:rsidRDefault="0074421F" w:rsidP="00955A9B">
            <w:pPr>
              <w:spacing w:line="240" w:lineRule="auto"/>
              <w:rPr>
                <w:rFonts w:ascii="Times New Roman" w:eastAsia="Times New Roman" w:hAnsi="Times New Roman" w:cs="Times New Roman"/>
                <w:szCs w:val="24"/>
              </w:rPr>
            </w:pPr>
          </w:p>
        </w:tc>
      </w:tr>
    </w:tbl>
    <w:p w14:paraId="29BF5E55" w14:textId="77777777" w:rsidR="00C77143" w:rsidRPr="00955A9B" w:rsidRDefault="00C77143" w:rsidP="00955A9B">
      <w:pPr>
        <w:spacing w:line="240" w:lineRule="auto"/>
        <w:rPr>
          <w:rFonts w:ascii="Times New Roman" w:eastAsia="Times New Roman" w:hAnsi="Times New Roman" w:cs="Times New Roman"/>
          <w:b/>
          <w:szCs w:val="24"/>
        </w:rPr>
      </w:pPr>
    </w:p>
    <w:p w14:paraId="2D92BBF8" w14:textId="1198C1EB" w:rsidR="00C77143" w:rsidRDefault="00C77143" w:rsidP="00955A9B">
      <w:pPr>
        <w:spacing w:line="360" w:lineRule="auto"/>
        <w:jc w:val="both"/>
        <w:rPr>
          <w:rFonts w:ascii="Times New Roman" w:hAnsi="Times New Roman" w:cs="Times New Roman"/>
          <w:sz w:val="24"/>
          <w:szCs w:val="24"/>
        </w:rPr>
      </w:pPr>
    </w:p>
    <w:p w14:paraId="2C542046" w14:textId="77777777" w:rsidR="0074421F" w:rsidRDefault="0074421F" w:rsidP="00955A9B">
      <w:pPr>
        <w:spacing w:line="360" w:lineRule="auto"/>
        <w:jc w:val="both"/>
        <w:rPr>
          <w:rFonts w:ascii="Times New Roman" w:hAnsi="Times New Roman" w:cs="Times New Roman"/>
          <w:sz w:val="24"/>
          <w:szCs w:val="24"/>
        </w:rPr>
      </w:pPr>
    </w:p>
    <w:p w14:paraId="7807FA08" w14:textId="77777777" w:rsidR="001F6F3D" w:rsidRPr="00955A9B" w:rsidRDefault="001F6F3D" w:rsidP="00955A9B">
      <w:pPr>
        <w:spacing w:line="360" w:lineRule="auto"/>
        <w:jc w:val="both"/>
        <w:rPr>
          <w:rFonts w:ascii="Times New Roman" w:hAnsi="Times New Roman" w:cs="Times New Roman"/>
          <w:sz w:val="24"/>
          <w:szCs w:val="24"/>
        </w:rPr>
      </w:pPr>
    </w:p>
    <w:p w14:paraId="7141F1CE" w14:textId="322DBBA0" w:rsidR="00953E6A" w:rsidRPr="00955A9B" w:rsidRDefault="00836B7B" w:rsidP="00955A9B">
      <w:pPr>
        <w:tabs>
          <w:tab w:val="left" w:pos="159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 tabella</w:t>
      </w:r>
      <w:r w:rsidR="00953E6A" w:rsidRPr="00955A9B">
        <w:rPr>
          <w:rFonts w:ascii="Times New Roman" w:hAnsi="Times New Roman" w:cs="Times New Roman"/>
          <w:b/>
          <w:bCs/>
          <w:sz w:val="24"/>
          <w:szCs w:val="24"/>
        </w:rPr>
        <w:t xml:space="preserve"> 3 riassume gli esami diagnostico / stadiativi per il carcinoma gastrico localizzato.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819"/>
      </w:tblGrid>
      <w:tr w:rsidR="00955A9B" w:rsidRPr="00955A9B" w14:paraId="4FC8DF19" w14:textId="77777777" w:rsidTr="00C63A4D">
        <w:tc>
          <w:tcPr>
            <w:tcW w:w="4809" w:type="dxa"/>
            <w:shd w:val="clear" w:color="auto" w:fill="auto"/>
          </w:tcPr>
          <w:p w14:paraId="09E66E71"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TIPOLOGIA DI ESAME </w:t>
            </w:r>
          </w:p>
        </w:tc>
        <w:tc>
          <w:tcPr>
            <w:tcW w:w="4819" w:type="dxa"/>
            <w:shd w:val="clear" w:color="auto" w:fill="auto"/>
          </w:tcPr>
          <w:p w14:paraId="6827893D"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APPROPRIATEZZA</w:t>
            </w:r>
          </w:p>
        </w:tc>
      </w:tr>
      <w:tr w:rsidR="00955A9B" w:rsidRPr="00955A9B" w14:paraId="4B3A86A3" w14:textId="77777777" w:rsidTr="00C63A4D">
        <w:tc>
          <w:tcPr>
            <w:tcW w:w="4809" w:type="dxa"/>
            <w:shd w:val="clear" w:color="auto" w:fill="auto"/>
          </w:tcPr>
          <w:p w14:paraId="6823982C" w14:textId="08659E61"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EGDS / Ecoendoscopia con biopsia multiple</w:t>
            </w:r>
            <w:r w:rsidR="00885FAC" w:rsidRPr="00955A9B">
              <w:rPr>
                <w:rFonts w:ascii="Times New Roman" w:eastAsia="Yu Mincho" w:hAnsi="Times New Roman" w:cs="Times New Roman"/>
                <w:szCs w:val="24"/>
              </w:rPr>
              <w:t xml:space="preserve"> per esteso campionamento (6 prelievi)</w:t>
            </w:r>
          </w:p>
        </w:tc>
        <w:tc>
          <w:tcPr>
            <w:tcW w:w="4819" w:type="dxa"/>
            <w:shd w:val="clear" w:color="auto" w:fill="auto"/>
          </w:tcPr>
          <w:p w14:paraId="3891C4E0"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2F438D2B" w14:textId="77777777" w:rsidTr="00C63A4D">
        <w:tc>
          <w:tcPr>
            <w:tcW w:w="4809" w:type="dxa"/>
            <w:shd w:val="clear" w:color="auto" w:fill="auto"/>
          </w:tcPr>
          <w:p w14:paraId="1F4BFD13" w14:textId="78FB23DF"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TAC </w:t>
            </w:r>
            <w:r w:rsidR="00C63A4D" w:rsidRPr="00955A9B">
              <w:rPr>
                <w:rFonts w:ascii="Times New Roman" w:eastAsia="Yu Mincho" w:hAnsi="Times New Roman" w:cs="Times New Roman"/>
                <w:szCs w:val="24"/>
              </w:rPr>
              <w:t>encefalo – collo – torace – addome e pelvi con e senza mdc</w:t>
            </w:r>
          </w:p>
        </w:tc>
        <w:tc>
          <w:tcPr>
            <w:tcW w:w="4819" w:type="dxa"/>
            <w:shd w:val="clear" w:color="auto" w:fill="auto"/>
          </w:tcPr>
          <w:p w14:paraId="41387DEC"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7EE611F4" w14:textId="77777777" w:rsidTr="00C63A4D">
        <w:tc>
          <w:tcPr>
            <w:tcW w:w="4809" w:type="dxa"/>
            <w:shd w:val="clear" w:color="auto" w:fill="auto"/>
          </w:tcPr>
          <w:p w14:paraId="4D8B7A92"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Scintigrafia ossea total body</w:t>
            </w:r>
          </w:p>
        </w:tc>
        <w:tc>
          <w:tcPr>
            <w:tcW w:w="4819" w:type="dxa"/>
            <w:shd w:val="clear" w:color="auto" w:fill="auto"/>
          </w:tcPr>
          <w:p w14:paraId="7AEA059B"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348F085C" w14:textId="77777777" w:rsidTr="00C63A4D">
        <w:tc>
          <w:tcPr>
            <w:tcW w:w="4809" w:type="dxa"/>
            <w:shd w:val="clear" w:color="auto" w:fill="auto"/>
          </w:tcPr>
          <w:p w14:paraId="5B4BA737" w14:textId="6541A170"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RMN addome con mdc</w:t>
            </w:r>
            <w:r w:rsidR="00C63A4D" w:rsidRPr="00955A9B">
              <w:rPr>
                <w:rFonts w:ascii="Times New Roman" w:eastAsia="Yu Mincho" w:hAnsi="Times New Roman" w:cs="Times New Roman"/>
                <w:szCs w:val="24"/>
              </w:rPr>
              <w:t xml:space="preserve"> (o altra sede)</w:t>
            </w:r>
          </w:p>
        </w:tc>
        <w:tc>
          <w:tcPr>
            <w:tcW w:w="4819" w:type="dxa"/>
            <w:shd w:val="clear" w:color="auto" w:fill="auto"/>
          </w:tcPr>
          <w:p w14:paraId="005AC047"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75A63D80" w14:textId="77777777" w:rsidTr="00C63A4D">
        <w:tc>
          <w:tcPr>
            <w:tcW w:w="4809" w:type="dxa"/>
            <w:shd w:val="clear" w:color="auto" w:fill="auto"/>
          </w:tcPr>
          <w:p w14:paraId="2C70D15A" w14:textId="77777777" w:rsidR="00953E6A" w:rsidRPr="00955A9B" w:rsidRDefault="00953E6A" w:rsidP="001F6F3D">
            <w:pPr>
              <w:tabs>
                <w:tab w:val="left" w:pos="1595"/>
              </w:tabs>
              <w:spacing w:line="276"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18-FDG PET/TC Total Body</w:t>
            </w:r>
          </w:p>
        </w:tc>
        <w:tc>
          <w:tcPr>
            <w:tcW w:w="4819" w:type="dxa"/>
            <w:shd w:val="clear" w:color="auto" w:fill="auto"/>
          </w:tcPr>
          <w:p w14:paraId="7F1C2437"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C63A4D" w:rsidRPr="00955A9B" w14:paraId="5BD3C877" w14:textId="77777777" w:rsidTr="00C63A4D">
        <w:tc>
          <w:tcPr>
            <w:tcW w:w="4809" w:type="dxa"/>
            <w:shd w:val="clear" w:color="auto" w:fill="auto"/>
          </w:tcPr>
          <w:p w14:paraId="72F6E505" w14:textId="7036298B" w:rsidR="00C63A4D" w:rsidRPr="00955A9B" w:rsidRDefault="00C63A4D" w:rsidP="001F6F3D">
            <w:pPr>
              <w:tabs>
                <w:tab w:val="left" w:pos="1595"/>
              </w:tabs>
              <w:spacing w:line="276"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Laparoscopia esplorativa</w:t>
            </w:r>
          </w:p>
        </w:tc>
        <w:tc>
          <w:tcPr>
            <w:tcW w:w="4819" w:type="dxa"/>
            <w:shd w:val="clear" w:color="auto" w:fill="auto"/>
          </w:tcPr>
          <w:p w14:paraId="04BCD8BF" w14:textId="2C954637" w:rsidR="00C63A4D" w:rsidRPr="00955A9B" w:rsidRDefault="00C63A4D"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bl>
    <w:p w14:paraId="05924A85" w14:textId="77777777" w:rsidR="00953E6A" w:rsidRPr="00955A9B" w:rsidRDefault="00953E6A" w:rsidP="00955A9B">
      <w:pPr>
        <w:spacing w:line="360" w:lineRule="auto"/>
        <w:jc w:val="both"/>
        <w:rPr>
          <w:rFonts w:ascii="Times New Roman" w:eastAsia="Times New Roman" w:hAnsi="Times New Roman" w:cs="Times New Roman"/>
          <w:sz w:val="24"/>
          <w:szCs w:val="24"/>
        </w:rPr>
      </w:pPr>
    </w:p>
    <w:p w14:paraId="58417CE6" w14:textId="13BC9AB4" w:rsidR="00953E6A" w:rsidRPr="00955A9B" w:rsidRDefault="00836B7B" w:rsidP="00955A9B">
      <w:pPr>
        <w:tabs>
          <w:tab w:val="left" w:pos="159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 tabella</w:t>
      </w:r>
      <w:r w:rsidR="00953E6A" w:rsidRPr="00955A9B">
        <w:rPr>
          <w:rFonts w:ascii="Times New Roman" w:hAnsi="Times New Roman" w:cs="Times New Roman"/>
          <w:b/>
          <w:bCs/>
          <w:sz w:val="24"/>
          <w:szCs w:val="24"/>
        </w:rPr>
        <w:t xml:space="preserve"> 4 riassume gli esami diagnostico/stadiativi per il carcinoma gastrico localmente avanzato.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1"/>
      </w:tblGrid>
      <w:tr w:rsidR="00955A9B" w:rsidRPr="00955A9B" w14:paraId="334F93E9" w14:textId="77777777" w:rsidTr="003A4E3E">
        <w:tc>
          <w:tcPr>
            <w:tcW w:w="4886" w:type="dxa"/>
            <w:shd w:val="clear" w:color="auto" w:fill="auto"/>
          </w:tcPr>
          <w:p w14:paraId="63616050"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TIPOLOGIA DI ESAME </w:t>
            </w:r>
          </w:p>
        </w:tc>
        <w:tc>
          <w:tcPr>
            <w:tcW w:w="4886" w:type="dxa"/>
            <w:shd w:val="clear" w:color="auto" w:fill="auto"/>
          </w:tcPr>
          <w:p w14:paraId="29B8D852"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APPROPRIATEZZA</w:t>
            </w:r>
          </w:p>
        </w:tc>
      </w:tr>
      <w:tr w:rsidR="00955A9B" w:rsidRPr="00955A9B" w14:paraId="064FC8DD" w14:textId="77777777" w:rsidTr="003A4E3E">
        <w:tc>
          <w:tcPr>
            <w:tcW w:w="4886" w:type="dxa"/>
            <w:shd w:val="clear" w:color="auto" w:fill="auto"/>
          </w:tcPr>
          <w:p w14:paraId="0EEA2E7C"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EGDS / Ecoendoscopia con biopsia multiple</w:t>
            </w:r>
          </w:p>
        </w:tc>
        <w:tc>
          <w:tcPr>
            <w:tcW w:w="4886" w:type="dxa"/>
            <w:shd w:val="clear" w:color="auto" w:fill="auto"/>
          </w:tcPr>
          <w:p w14:paraId="4906008C"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7E57BB0E" w14:textId="77777777" w:rsidTr="003A4E3E">
        <w:tc>
          <w:tcPr>
            <w:tcW w:w="4886" w:type="dxa"/>
            <w:shd w:val="clear" w:color="auto" w:fill="auto"/>
          </w:tcPr>
          <w:p w14:paraId="3DD97D22" w14:textId="5AC6DFFF"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TAC</w:t>
            </w:r>
            <w:r w:rsidR="000F7093" w:rsidRPr="00955A9B">
              <w:rPr>
                <w:rFonts w:ascii="Times New Roman" w:eastAsia="Yu Mincho" w:hAnsi="Times New Roman" w:cs="Times New Roman"/>
                <w:szCs w:val="24"/>
              </w:rPr>
              <w:t xml:space="preserve"> encefalo – collo - t</w:t>
            </w:r>
            <w:r w:rsidRPr="00955A9B">
              <w:rPr>
                <w:rFonts w:ascii="Times New Roman" w:eastAsia="Yu Mincho" w:hAnsi="Times New Roman" w:cs="Times New Roman"/>
                <w:szCs w:val="24"/>
              </w:rPr>
              <w:t>orace-addome-pelvi con e senza mdc</w:t>
            </w:r>
          </w:p>
        </w:tc>
        <w:tc>
          <w:tcPr>
            <w:tcW w:w="4886" w:type="dxa"/>
            <w:shd w:val="clear" w:color="auto" w:fill="auto"/>
          </w:tcPr>
          <w:p w14:paraId="5BA259B1"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54A38531" w14:textId="77777777" w:rsidTr="003A4E3E">
        <w:tc>
          <w:tcPr>
            <w:tcW w:w="4886" w:type="dxa"/>
            <w:shd w:val="clear" w:color="auto" w:fill="auto"/>
          </w:tcPr>
          <w:p w14:paraId="06B00D89"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Scintigrafia ossea total body</w:t>
            </w:r>
          </w:p>
        </w:tc>
        <w:tc>
          <w:tcPr>
            <w:tcW w:w="4886" w:type="dxa"/>
            <w:shd w:val="clear" w:color="auto" w:fill="auto"/>
          </w:tcPr>
          <w:p w14:paraId="2B040794"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134D1C56" w14:textId="77777777" w:rsidTr="003A4E3E">
        <w:tc>
          <w:tcPr>
            <w:tcW w:w="4886" w:type="dxa"/>
            <w:shd w:val="clear" w:color="auto" w:fill="auto"/>
          </w:tcPr>
          <w:p w14:paraId="20398D22"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RMN addome con mdc</w:t>
            </w:r>
          </w:p>
        </w:tc>
        <w:tc>
          <w:tcPr>
            <w:tcW w:w="4886" w:type="dxa"/>
            <w:shd w:val="clear" w:color="auto" w:fill="auto"/>
          </w:tcPr>
          <w:p w14:paraId="5AE80D25"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75EEEDBB" w14:textId="77777777" w:rsidTr="003A4E3E">
        <w:tc>
          <w:tcPr>
            <w:tcW w:w="4886" w:type="dxa"/>
            <w:shd w:val="clear" w:color="auto" w:fill="auto"/>
          </w:tcPr>
          <w:p w14:paraId="1044C532" w14:textId="6A10C31D"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RMN encefalo con mdc</w:t>
            </w:r>
          </w:p>
        </w:tc>
        <w:tc>
          <w:tcPr>
            <w:tcW w:w="4886" w:type="dxa"/>
            <w:shd w:val="clear" w:color="auto" w:fill="auto"/>
          </w:tcPr>
          <w:p w14:paraId="394DBA40"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5244D921" w14:textId="77777777" w:rsidTr="003A4E3E">
        <w:tc>
          <w:tcPr>
            <w:tcW w:w="4886" w:type="dxa"/>
            <w:shd w:val="clear" w:color="auto" w:fill="auto"/>
          </w:tcPr>
          <w:p w14:paraId="6A231FE2" w14:textId="77777777" w:rsidR="00953E6A" w:rsidRPr="00955A9B" w:rsidRDefault="00953E6A" w:rsidP="001F6F3D">
            <w:pPr>
              <w:tabs>
                <w:tab w:val="left" w:pos="1595"/>
              </w:tabs>
              <w:spacing w:line="276"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18-FDG PET/TC Total Body</w:t>
            </w:r>
          </w:p>
        </w:tc>
        <w:tc>
          <w:tcPr>
            <w:tcW w:w="4886" w:type="dxa"/>
            <w:shd w:val="clear" w:color="auto" w:fill="auto"/>
          </w:tcPr>
          <w:p w14:paraId="608B122B"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3EDF50EC" w14:textId="77777777" w:rsidTr="003A4E3E">
        <w:tc>
          <w:tcPr>
            <w:tcW w:w="4886" w:type="dxa"/>
            <w:shd w:val="clear" w:color="auto" w:fill="auto"/>
          </w:tcPr>
          <w:p w14:paraId="08891C48" w14:textId="5F240221" w:rsidR="001071B2" w:rsidRPr="00955A9B" w:rsidRDefault="001071B2" w:rsidP="001F6F3D">
            <w:pPr>
              <w:tabs>
                <w:tab w:val="left" w:pos="1595"/>
              </w:tabs>
              <w:spacing w:line="276"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Laparoscopia esplorativa</w:t>
            </w:r>
          </w:p>
        </w:tc>
        <w:tc>
          <w:tcPr>
            <w:tcW w:w="4886" w:type="dxa"/>
            <w:shd w:val="clear" w:color="auto" w:fill="auto"/>
          </w:tcPr>
          <w:p w14:paraId="0F0E9E65" w14:textId="62723854" w:rsidR="001071B2" w:rsidRPr="00955A9B" w:rsidRDefault="001071B2"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bl>
    <w:p w14:paraId="63FA94DF" w14:textId="54F69510" w:rsidR="001F6F3D" w:rsidRDefault="001F6F3D" w:rsidP="00955A9B">
      <w:pPr>
        <w:tabs>
          <w:tab w:val="left" w:pos="1595"/>
        </w:tabs>
        <w:spacing w:line="360" w:lineRule="auto"/>
        <w:jc w:val="both"/>
        <w:rPr>
          <w:rFonts w:ascii="Times New Roman" w:hAnsi="Times New Roman" w:cs="Times New Roman"/>
          <w:b/>
          <w:bCs/>
          <w:sz w:val="24"/>
          <w:szCs w:val="24"/>
        </w:rPr>
      </w:pPr>
    </w:p>
    <w:p w14:paraId="6BFC892A" w14:textId="4192F8BB" w:rsidR="00953E6A" w:rsidRPr="00955A9B" w:rsidRDefault="00836B7B" w:rsidP="00955A9B">
      <w:pPr>
        <w:tabs>
          <w:tab w:val="left" w:pos="159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 tabella</w:t>
      </w:r>
      <w:r w:rsidR="00953E6A" w:rsidRPr="00955A9B">
        <w:rPr>
          <w:rFonts w:ascii="Times New Roman" w:hAnsi="Times New Roman" w:cs="Times New Roman"/>
          <w:b/>
          <w:bCs/>
          <w:sz w:val="24"/>
          <w:szCs w:val="24"/>
        </w:rPr>
        <w:t xml:space="preserve"> 5 riassume gli esami diagnostico/stadiativi per il carcinoma gastrico metastatico.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1"/>
      </w:tblGrid>
      <w:tr w:rsidR="00955A9B" w:rsidRPr="00955A9B" w14:paraId="7BA1E988" w14:textId="77777777" w:rsidTr="003A4E3E">
        <w:tc>
          <w:tcPr>
            <w:tcW w:w="4886" w:type="dxa"/>
            <w:shd w:val="clear" w:color="auto" w:fill="auto"/>
          </w:tcPr>
          <w:p w14:paraId="5226F0D7"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TIPOLOGIA DI ESAME </w:t>
            </w:r>
          </w:p>
        </w:tc>
        <w:tc>
          <w:tcPr>
            <w:tcW w:w="4886" w:type="dxa"/>
            <w:shd w:val="clear" w:color="auto" w:fill="auto"/>
          </w:tcPr>
          <w:p w14:paraId="3AF24731"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APPROPRIATEZZA</w:t>
            </w:r>
          </w:p>
        </w:tc>
      </w:tr>
      <w:tr w:rsidR="00955A9B" w:rsidRPr="00955A9B" w14:paraId="6FE246F7" w14:textId="77777777" w:rsidTr="003A4E3E">
        <w:tc>
          <w:tcPr>
            <w:tcW w:w="4886" w:type="dxa"/>
            <w:shd w:val="clear" w:color="auto" w:fill="auto"/>
          </w:tcPr>
          <w:p w14:paraId="0D88F23B"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EGDS / Ecoendoscopia con biopsia multiple</w:t>
            </w:r>
          </w:p>
        </w:tc>
        <w:tc>
          <w:tcPr>
            <w:tcW w:w="4886" w:type="dxa"/>
            <w:shd w:val="clear" w:color="auto" w:fill="auto"/>
          </w:tcPr>
          <w:p w14:paraId="59C18398"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3A16441D" w14:textId="77777777" w:rsidTr="003A4E3E">
        <w:tc>
          <w:tcPr>
            <w:tcW w:w="4886" w:type="dxa"/>
            <w:shd w:val="clear" w:color="auto" w:fill="auto"/>
          </w:tcPr>
          <w:p w14:paraId="56C96F62" w14:textId="31479FED"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TAC</w:t>
            </w:r>
            <w:r w:rsidR="0086050D" w:rsidRPr="00955A9B">
              <w:rPr>
                <w:rFonts w:ascii="Times New Roman" w:eastAsia="Yu Mincho" w:hAnsi="Times New Roman" w:cs="Times New Roman"/>
                <w:szCs w:val="24"/>
              </w:rPr>
              <w:t xml:space="preserve"> encefalo – collo - t</w:t>
            </w:r>
            <w:r w:rsidRPr="00955A9B">
              <w:rPr>
                <w:rFonts w:ascii="Times New Roman" w:eastAsia="Yu Mincho" w:hAnsi="Times New Roman" w:cs="Times New Roman"/>
                <w:szCs w:val="24"/>
              </w:rPr>
              <w:t>orace-addome-pelvi con e senza mdc</w:t>
            </w:r>
          </w:p>
        </w:tc>
        <w:tc>
          <w:tcPr>
            <w:tcW w:w="4886" w:type="dxa"/>
            <w:shd w:val="clear" w:color="auto" w:fill="auto"/>
          </w:tcPr>
          <w:p w14:paraId="08C2F3F9"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2E03E7D2" w14:textId="77777777" w:rsidTr="003A4E3E">
        <w:tc>
          <w:tcPr>
            <w:tcW w:w="4886" w:type="dxa"/>
            <w:shd w:val="clear" w:color="auto" w:fill="auto"/>
          </w:tcPr>
          <w:p w14:paraId="033FF045"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Scintigrafia ossea total body</w:t>
            </w:r>
          </w:p>
        </w:tc>
        <w:tc>
          <w:tcPr>
            <w:tcW w:w="4886" w:type="dxa"/>
            <w:shd w:val="clear" w:color="auto" w:fill="auto"/>
          </w:tcPr>
          <w:p w14:paraId="46F1317A"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551E37F6" w14:textId="77777777" w:rsidTr="003A4E3E">
        <w:tc>
          <w:tcPr>
            <w:tcW w:w="4886" w:type="dxa"/>
            <w:shd w:val="clear" w:color="auto" w:fill="auto"/>
          </w:tcPr>
          <w:p w14:paraId="66E12D3E"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RMN addome con mdc</w:t>
            </w:r>
          </w:p>
        </w:tc>
        <w:tc>
          <w:tcPr>
            <w:tcW w:w="4886" w:type="dxa"/>
            <w:shd w:val="clear" w:color="auto" w:fill="auto"/>
          </w:tcPr>
          <w:p w14:paraId="67918813"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7D846063" w14:textId="77777777" w:rsidTr="003A4E3E">
        <w:tc>
          <w:tcPr>
            <w:tcW w:w="4886" w:type="dxa"/>
            <w:shd w:val="clear" w:color="auto" w:fill="auto"/>
          </w:tcPr>
          <w:p w14:paraId="0355CA43" w14:textId="350441E5"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RMN encefalo con mdc</w:t>
            </w:r>
          </w:p>
        </w:tc>
        <w:tc>
          <w:tcPr>
            <w:tcW w:w="4886" w:type="dxa"/>
            <w:shd w:val="clear" w:color="auto" w:fill="auto"/>
          </w:tcPr>
          <w:p w14:paraId="0D3D236A"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3FD3A0E9" w14:textId="77777777" w:rsidTr="003A4E3E">
        <w:tc>
          <w:tcPr>
            <w:tcW w:w="4886" w:type="dxa"/>
            <w:shd w:val="clear" w:color="auto" w:fill="auto"/>
          </w:tcPr>
          <w:p w14:paraId="5A72AFB9" w14:textId="77777777" w:rsidR="00953E6A" w:rsidRPr="00955A9B" w:rsidRDefault="00953E6A" w:rsidP="001F6F3D">
            <w:pPr>
              <w:tabs>
                <w:tab w:val="left" w:pos="1595"/>
              </w:tabs>
              <w:spacing w:line="276"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18-FDG PET/TC Total Body</w:t>
            </w:r>
          </w:p>
        </w:tc>
        <w:tc>
          <w:tcPr>
            <w:tcW w:w="4886" w:type="dxa"/>
            <w:shd w:val="clear" w:color="auto" w:fill="auto"/>
          </w:tcPr>
          <w:p w14:paraId="7CCC2C7D" w14:textId="77777777" w:rsidR="00953E6A" w:rsidRPr="00955A9B" w:rsidRDefault="00953E6A" w:rsidP="001F6F3D">
            <w:pPr>
              <w:tabs>
                <w:tab w:val="left" w:pos="1595"/>
              </w:tabs>
              <w:spacing w:line="276"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bl>
    <w:p w14:paraId="3FB117C7" w14:textId="1AA0015B" w:rsidR="00953E6A" w:rsidRPr="00955A9B" w:rsidRDefault="006D4725" w:rsidP="00955A9B">
      <w:pPr>
        <w:tabs>
          <w:tab w:val="left" w:pos="1520"/>
          <w:tab w:val="left" w:pos="3500"/>
          <w:tab w:val="left" w:pos="4200"/>
          <w:tab w:val="left" w:pos="5840"/>
          <w:tab w:val="left" w:pos="6600"/>
          <w:tab w:val="left" w:pos="820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sidR="00953E6A" w:rsidRPr="00955A9B">
        <w:rPr>
          <w:rFonts w:ascii="Times New Roman" w:eastAsia="Times New Roman" w:hAnsi="Times New Roman" w:cs="Times New Roman"/>
          <w:b/>
          <w:sz w:val="24"/>
          <w:szCs w:val="24"/>
        </w:rPr>
        <w:t>PERCORSO</w:t>
      </w:r>
      <w:r w:rsidR="00953E6A" w:rsidRPr="00955A9B">
        <w:rPr>
          <w:rFonts w:ascii="Times New Roman" w:eastAsia="Times New Roman" w:hAnsi="Times New Roman" w:cs="Times New Roman"/>
          <w:b/>
          <w:sz w:val="24"/>
          <w:szCs w:val="24"/>
        </w:rPr>
        <w:tab/>
        <w:t>TERAPEUTICO</w:t>
      </w:r>
      <w:r w:rsidR="00953E6A" w:rsidRPr="00955A9B">
        <w:rPr>
          <w:rFonts w:ascii="Times New Roman" w:eastAsia="Times New Roman" w:hAnsi="Times New Roman" w:cs="Times New Roman"/>
          <w:b/>
          <w:sz w:val="24"/>
          <w:szCs w:val="24"/>
        </w:rPr>
        <w:tab/>
        <w:t>PER</w:t>
      </w:r>
      <w:r w:rsidR="00953E6A" w:rsidRPr="00955A9B">
        <w:rPr>
          <w:rFonts w:ascii="Times New Roman" w:eastAsia="Times New Roman" w:hAnsi="Times New Roman" w:cs="Times New Roman"/>
          <w:b/>
          <w:sz w:val="24"/>
          <w:szCs w:val="24"/>
        </w:rPr>
        <w:tab/>
        <w:t>PAZIENTE</w:t>
      </w:r>
      <w:r w:rsidR="00953E6A" w:rsidRPr="00955A9B">
        <w:rPr>
          <w:rFonts w:ascii="Times New Roman" w:eastAsia="Times New Roman" w:hAnsi="Times New Roman" w:cs="Times New Roman"/>
          <w:sz w:val="24"/>
          <w:szCs w:val="24"/>
        </w:rPr>
        <w:tab/>
      </w:r>
      <w:r w:rsidR="00953E6A" w:rsidRPr="00955A9B">
        <w:rPr>
          <w:rFonts w:ascii="Times New Roman" w:eastAsia="Times New Roman" w:hAnsi="Times New Roman" w:cs="Times New Roman"/>
          <w:b/>
          <w:sz w:val="24"/>
          <w:szCs w:val="24"/>
        </w:rPr>
        <w:t>CON</w:t>
      </w:r>
      <w:r w:rsidR="00953E6A" w:rsidRPr="00955A9B">
        <w:rPr>
          <w:rFonts w:ascii="Times New Roman" w:eastAsia="Times New Roman" w:hAnsi="Times New Roman" w:cs="Times New Roman"/>
          <w:b/>
          <w:sz w:val="24"/>
          <w:szCs w:val="24"/>
        </w:rPr>
        <w:tab/>
        <w:t>NEOPLASIA</w:t>
      </w:r>
      <w:r w:rsidR="00953E6A" w:rsidRPr="00955A9B">
        <w:rPr>
          <w:rFonts w:ascii="Times New Roman" w:eastAsia="Times New Roman" w:hAnsi="Times New Roman" w:cs="Times New Roman"/>
          <w:b/>
          <w:sz w:val="24"/>
          <w:szCs w:val="24"/>
        </w:rPr>
        <w:tab/>
        <w:t>GASTRICA</w:t>
      </w:r>
      <w:r w:rsidR="00CC14B6" w:rsidRPr="00955A9B">
        <w:rPr>
          <w:rFonts w:ascii="Times New Roman" w:eastAsia="Times New Roman" w:hAnsi="Times New Roman" w:cs="Times New Roman"/>
          <w:b/>
          <w:sz w:val="24"/>
          <w:szCs w:val="24"/>
        </w:rPr>
        <w:t xml:space="preserve"> </w:t>
      </w:r>
      <w:r w:rsidR="00953E6A" w:rsidRPr="00955A9B">
        <w:rPr>
          <w:rFonts w:ascii="Times New Roman" w:eastAsia="Times New Roman" w:hAnsi="Times New Roman" w:cs="Times New Roman"/>
          <w:b/>
          <w:sz w:val="24"/>
          <w:szCs w:val="24"/>
        </w:rPr>
        <w:t>ACCERTATA ED IN FASE PRECOCE</w:t>
      </w:r>
    </w:p>
    <w:p w14:paraId="07EA0497" w14:textId="1DC7E181" w:rsidR="00953E6A" w:rsidRPr="00955A9B" w:rsidRDefault="00953E6A"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La terapia del tumore dello stomaco differisce a seconda che la malattia si presenti alla diagnosi in fase precoce o in fase avanzata. Si riporta in tabella 6 il percorso per tumore dello stomaco in fase non metastatica, in conformità alle principali linee guida nazionali ed internazionali più aggiornate (AIOM, ESMO, NCCN). Tali trattamenti saranno modificati, pertanto, secondo la loro evoluzione. Le figure professionali di riferimento nell’ambito del percorso saranno almeno rappresentate dall’Oncologo Medico, dal Chirurgo Generale dedicato al trattamento dei tumori del tratto gastro-esofageo alto</w:t>
      </w:r>
      <w:r w:rsidR="00C442CE" w:rsidRPr="00955A9B">
        <w:rPr>
          <w:rFonts w:ascii="Times New Roman" w:eastAsia="Times New Roman" w:hAnsi="Times New Roman" w:cs="Times New Roman"/>
          <w:sz w:val="24"/>
          <w:szCs w:val="24"/>
        </w:rPr>
        <w:t xml:space="preserve">, </w:t>
      </w:r>
      <w:r w:rsidR="00C80206" w:rsidRPr="00955A9B">
        <w:rPr>
          <w:rFonts w:ascii="Times New Roman" w:eastAsia="Times New Roman" w:hAnsi="Times New Roman" w:cs="Times New Roman"/>
          <w:sz w:val="24"/>
          <w:szCs w:val="24"/>
        </w:rPr>
        <w:t xml:space="preserve">dal Radiologo, </w:t>
      </w:r>
      <w:r w:rsidR="00C442CE" w:rsidRPr="00955A9B">
        <w:rPr>
          <w:rFonts w:ascii="Times New Roman" w:eastAsia="Times New Roman" w:hAnsi="Times New Roman" w:cs="Times New Roman"/>
          <w:sz w:val="24"/>
          <w:szCs w:val="24"/>
        </w:rPr>
        <w:t>dall’Endoscopista</w:t>
      </w:r>
      <w:r w:rsidRPr="00955A9B">
        <w:rPr>
          <w:rFonts w:ascii="Times New Roman" w:eastAsia="Times New Roman" w:hAnsi="Times New Roman" w:cs="Times New Roman"/>
          <w:sz w:val="24"/>
          <w:szCs w:val="24"/>
        </w:rPr>
        <w:t xml:space="preserve"> e dal Radioterapista. Il trattamento chirurgico, indicato sin dagli stadi più precoci secondo le più recenti linee guida (esempio ≥ cT2N0), andrà eseguito nei centri di II della Rete Oncologica per garantire elevati standard di qualità. La gestione medica e radioterapica andrà effettuata nei centri di I e II livello.</w:t>
      </w:r>
    </w:p>
    <w:p w14:paraId="2ADC304A" w14:textId="4987A259" w:rsidR="00953E6A" w:rsidRPr="00955A9B" w:rsidRDefault="00953E6A"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In considerazione della complessità del trattamento del paziente affetto da neoplasia dello stomaco, tutti i pazienti affetti da neoplasie gastriche alla diagnosi devono essere sottoposti a consulto nutrizionistico</w:t>
      </w:r>
      <w:r w:rsidR="000E02E3" w:rsidRPr="00955A9B">
        <w:rPr>
          <w:rFonts w:ascii="Times New Roman" w:eastAsia="Times New Roman" w:hAnsi="Times New Roman" w:cs="Times New Roman"/>
          <w:sz w:val="24"/>
          <w:szCs w:val="24"/>
        </w:rPr>
        <w:t xml:space="preserve"> di base</w:t>
      </w:r>
      <w:r w:rsidRPr="00955A9B">
        <w:rPr>
          <w:rFonts w:ascii="Times New Roman" w:eastAsia="Times New Roman" w:hAnsi="Times New Roman" w:cs="Times New Roman"/>
          <w:sz w:val="24"/>
          <w:szCs w:val="24"/>
        </w:rPr>
        <w:t xml:space="preserve"> con eventuale integrazione nutrizionale, </w:t>
      </w:r>
      <w:r w:rsidR="005050AD" w:rsidRPr="00955A9B">
        <w:rPr>
          <w:rFonts w:ascii="Times New Roman" w:eastAsia="Times New Roman" w:hAnsi="Times New Roman" w:cs="Times New Roman"/>
          <w:sz w:val="24"/>
          <w:szCs w:val="24"/>
        </w:rPr>
        <w:t>counseling</w:t>
      </w:r>
      <w:r w:rsidRPr="00955A9B">
        <w:rPr>
          <w:rFonts w:ascii="Times New Roman" w:eastAsia="Times New Roman" w:hAnsi="Times New Roman" w:cs="Times New Roman"/>
          <w:sz w:val="24"/>
          <w:szCs w:val="24"/>
        </w:rPr>
        <w:t xml:space="preserve"> psicologico, </w:t>
      </w:r>
      <w:r w:rsidR="005050AD" w:rsidRPr="00955A9B">
        <w:rPr>
          <w:rFonts w:ascii="Times New Roman" w:eastAsia="Times New Roman" w:hAnsi="Times New Roman" w:cs="Times New Roman"/>
          <w:sz w:val="24"/>
          <w:szCs w:val="24"/>
        </w:rPr>
        <w:t>counseling</w:t>
      </w:r>
      <w:r w:rsidRPr="00955A9B">
        <w:rPr>
          <w:rFonts w:ascii="Times New Roman" w:eastAsia="Times New Roman" w:hAnsi="Times New Roman" w:cs="Times New Roman"/>
          <w:sz w:val="24"/>
          <w:szCs w:val="24"/>
        </w:rPr>
        <w:t xml:space="preserve"> genetico con eventuali analisi genetiche nel caso si sospetti una patologia ereditaria, </w:t>
      </w:r>
      <w:r w:rsidR="005050AD" w:rsidRPr="00955A9B">
        <w:rPr>
          <w:rFonts w:ascii="Times New Roman" w:eastAsia="Times New Roman" w:hAnsi="Times New Roman" w:cs="Times New Roman"/>
          <w:sz w:val="24"/>
          <w:szCs w:val="24"/>
        </w:rPr>
        <w:t>counseling</w:t>
      </w:r>
      <w:r w:rsidRPr="00955A9B">
        <w:rPr>
          <w:rFonts w:ascii="Times New Roman" w:eastAsia="Times New Roman" w:hAnsi="Times New Roman" w:cs="Times New Roman"/>
          <w:sz w:val="24"/>
          <w:szCs w:val="24"/>
        </w:rPr>
        <w:t xml:space="preserve"> di oncofertilità, nei pazienti giovani</w:t>
      </w:r>
      <w:r w:rsidR="00D43244" w:rsidRPr="00955A9B">
        <w:rPr>
          <w:rFonts w:ascii="Times New Roman" w:eastAsia="Times New Roman" w:hAnsi="Times New Roman" w:cs="Times New Roman"/>
          <w:sz w:val="24"/>
          <w:szCs w:val="24"/>
        </w:rPr>
        <w:t xml:space="preserve"> in età fertile e desiderosi di prole</w:t>
      </w:r>
      <w:r w:rsidRPr="00955A9B">
        <w:rPr>
          <w:rFonts w:ascii="Times New Roman" w:eastAsia="Times New Roman" w:hAnsi="Times New Roman" w:cs="Times New Roman"/>
          <w:sz w:val="24"/>
          <w:szCs w:val="24"/>
        </w:rPr>
        <w:t xml:space="preserve"> che necessitino di trattamenti</w:t>
      </w:r>
      <w:r w:rsidR="00D43244"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antiblastici e</w:t>
      </w:r>
      <w:r w:rsidR="00D43244"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valutazione chirurgica o anestesiologica per il posizionamento di adeguato accesso venoso centrale o periferico</w:t>
      </w:r>
      <w:r w:rsidR="00164E53">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 xml:space="preserve">(laddove non disponibile presso un ambulatorio dedicato nella UOC di Oncoematologia) nei pazienti che necessitino di trattamenti antiblastici. L’accesso venoso centrale sarà quindi posizionato da personale dedicato in centri di I e II livello prima dell’inizio del trattamento. </w:t>
      </w:r>
      <w:r w:rsidR="003943FF">
        <w:rPr>
          <w:rFonts w:ascii="Times New Roman" w:eastAsia="Times New Roman" w:hAnsi="Times New Roman" w:cs="Times New Roman"/>
          <w:sz w:val="24"/>
          <w:szCs w:val="24"/>
        </w:rPr>
        <w:t>Il Case Manager</w:t>
      </w:r>
      <w:r w:rsidRPr="00955A9B">
        <w:rPr>
          <w:rFonts w:ascii="Times New Roman" w:eastAsia="Times New Roman" w:hAnsi="Times New Roman" w:cs="Times New Roman"/>
          <w:sz w:val="24"/>
          <w:szCs w:val="24"/>
        </w:rPr>
        <w:t xml:space="preserve"> del GOM provvederà alla organizzazione e prenotazione di tutte le visite necessarie dopo la diagnosi di tumore dello stomaco e prima di intraprendere il trattamento. Il rapporto con il Nutrizionista dedicato e lo psiconcologo saranno rapporti continuativi durante il trattamento, mentre il chirurgo o anestesista con il compito di </w:t>
      </w:r>
      <w:r w:rsidR="007E3EAD" w:rsidRPr="00955A9B">
        <w:rPr>
          <w:rFonts w:ascii="Times New Roman" w:eastAsia="Times New Roman" w:hAnsi="Times New Roman" w:cs="Times New Roman"/>
          <w:sz w:val="24"/>
          <w:szCs w:val="24"/>
        </w:rPr>
        <w:t>posizionare</w:t>
      </w:r>
      <w:r w:rsidRPr="00955A9B">
        <w:rPr>
          <w:rFonts w:ascii="Times New Roman" w:eastAsia="Times New Roman" w:hAnsi="Times New Roman" w:cs="Times New Roman"/>
          <w:sz w:val="24"/>
          <w:szCs w:val="24"/>
        </w:rPr>
        <w:t xml:space="preserve"> l’accesso venoso (o il personale infermieristico dedicato presso gli ambulatori di posizionamento PICC di pertinenza oncoematologica) si occuperanno delle eventuali complicanze legate alla gestione dell’accesso venoso centrale stesso (es. infezioni</w:t>
      </w:r>
      <w:r w:rsidR="00415D48" w:rsidRPr="00955A9B">
        <w:rPr>
          <w:rFonts w:ascii="Times New Roman" w:eastAsia="Times New Roman" w:hAnsi="Times New Roman" w:cs="Times New Roman"/>
          <w:sz w:val="24"/>
          <w:szCs w:val="24"/>
        </w:rPr>
        <w:t>, ostruzioni, dislocazioni…</w:t>
      </w:r>
      <w:r w:rsidRPr="00955A9B">
        <w:rPr>
          <w:rFonts w:ascii="Times New Roman" w:eastAsia="Times New Roman" w:hAnsi="Times New Roman" w:cs="Times New Roman"/>
          <w:sz w:val="24"/>
          <w:szCs w:val="24"/>
        </w:rPr>
        <w:t>), alla diagnosi ed al trattamento di queste ultime con un tempo di attesa massimo per la prima visita dopo l’insorgenza della complicanza di 3 giorni e con un tempo di reimpianto di accesso venoso, in caso di rottura, fuoriuscita, infezione o dislocazione dei dispositivi di 7 giorni (con le dovute eccezioni legate al singolo caso). In caso di pazienti non   operabili</w:t>
      </w:r>
      <w:r w:rsidR="00CC14B6"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per</w:t>
      </w:r>
      <w:r w:rsidR="00CC14B6"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patologie concomitanti</w:t>
      </w:r>
      <w:r w:rsidRPr="00955A9B">
        <w:rPr>
          <w:rFonts w:ascii="Times New Roman" w:eastAsia="Times New Roman" w:hAnsi="Times New Roman" w:cs="Times New Roman"/>
          <w:sz w:val="24"/>
          <w:szCs w:val="24"/>
        </w:rPr>
        <w:tab/>
        <w:t>e</w:t>
      </w:r>
      <w:r w:rsidR="00CC14B6" w:rsidRPr="00955A9B">
        <w:rPr>
          <w:rFonts w:ascii="Times New Roman" w:eastAsia="Times New Roman" w:hAnsi="Times New Roman" w:cs="Times New Roman"/>
          <w:sz w:val="24"/>
          <w:szCs w:val="24"/>
        </w:rPr>
        <w:t xml:space="preserve"> </w:t>
      </w:r>
      <w:r w:rsidR="005050AD" w:rsidRPr="00955A9B">
        <w:rPr>
          <w:rFonts w:ascii="Times New Roman" w:eastAsia="Times New Roman" w:hAnsi="Times New Roman" w:cs="Times New Roman"/>
          <w:sz w:val="24"/>
          <w:szCs w:val="24"/>
        </w:rPr>
        <w:t>che presentino</w:t>
      </w:r>
      <w:r w:rsidRPr="00955A9B">
        <w:rPr>
          <w:rFonts w:ascii="Times New Roman" w:eastAsia="Times New Roman" w:hAnsi="Times New Roman" w:cs="Times New Roman"/>
          <w:sz w:val="24"/>
          <w:szCs w:val="24"/>
        </w:rPr>
        <w:t xml:space="preserve"> disfagia,</w:t>
      </w:r>
      <w:r w:rsidRPr="00955A9B">
        <w:rPr>
          <w:rFonts w:ascii="Times New Roman" w:eastAsia="Times New Roman" w:hAnsi="Times New Roman" w:cs="Times New Roman"/>
          <w:sz w:val="24"/>
          <w:szCs w:val="24"/>
        </w:rPr>
        <w:tab/>
        <w:t>sarà</w:t>
      </w:r>
      <w:r w:rsidRPr="00955A9B">
        <w:rPr>
          <w:rFonts w:ascii="Times New Roman" w:eastAsia="Times New Roman" w:hAnsi="Times New Roman" w:cs="Times New Roman"/>
          <w:sz w:val="24"/>
          <w:szCs w:val="24"/>
        </w:rPr>
        <w:tab/>
        <w:t>valutata</w:t>
      </w:r>
      <w:r w:rsidR="00561E0C"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dal</w:t>
      </w:r>
      <w:r w:rsidR="00164E53">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GOM</w:t>
      </w:r>
      <w:r w:rsidRPr="00955A9B">
        <w:rPr>
          <w:rFonts w:ascii="Times New Roman" w:eastAsia="Times New Roman" w:hAnsi="Times New Roman" w:cs="Times New Roman"/>
          <w:sz w:val="24"/>
          <w:szCs w:val="24"/>
        </w:rPr>
        <w:tab/>
        <w:t>la possibilità di posizionamento di endoprotesi.</w:t>
      </w:r>
    </w:p>
    <w:p w14:paraId="032634EA" w14:textId="764F95A1" w:rsidR="00953E6A" w:rsidRPr="00955A9B" w:rsidRDefault="00953E6A" w:rsidP="00955A9B">
      <w:pPr>
        <w:spacing w:line="360" w:lineRule="auto"/>
        <w:ind w:left="120"/>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Tabella 6. Percorso terapeutico per tumore dello stomaco non metastatico</w:t>
      </w:r>
    </w:p>
    <w:p w14:paraId="6BC8A4A9" w14:textId="5576E997" w:rsidR="00953E6A" w:rsidRPr="00955A9B" w:rsidRDefault="007836F3"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b/>
          <w:noProof/>
          <w:sz w:val="24"/>
          <w:szCs w:val="24"/>
          <w:lang w:eastAsia="it-IT"/>
        </w:rPr>
        <mc:AlternateContent>
          <mc:Choice Requires="wps">
            <w:drawing>
              <wp:anchor distT="4294967295" distB="4294967295" distL="114300" distR="114300" simplePos="0" relativeHeight="251661312" behindDoc="1" locked="0" layoutInCell="1" allowOverlap="1" wp14:anchorId="0049A3DF" wp14:editId="65A06606">
                <wp:simplePos x="0" y="0"/>
                <wp:positionH relativeFrom="column">
                  <wp:posOffset>2540</wp:posOffset>
                </wp:positionH>
                <wp:positionV relativeFrom="paragraph">
                  <wp:posOffset>133984</wp:posOffset>
                </wp:positionV>
                <wp:extent cx="6115685" cy="0"/>
                <wp:effectExtent l="0" t="0" r="18415" b="0"/>
                <wp:wrapNone/>
                <wp:docPr id="5"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6">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D1AB4D" id="Connettore diritto 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0.55pt" to="48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" strokecolor="#7f7f7f" strokeweight=".48pt"/>
            </w:pict>
          </mc:Fallback>
        </mc:AlternateContent>
      </w:r>
    </w:p>
    <w:p w14:paraId="434160D0" w14:textId="77777777" w:rsidR="00953E6A" w:rsidRPr="00955A9B" w:rsidRDefault="00953E6A" w:rsidP="00955A9B">
      <w:pPr>
        <w:tabs>
          <w:tab w:val="left" w:pos="2500"/>
        </w:tabs>
        <w:spacing w:line="240" w:lineRule="auto"/>
        <w:ind w:left="120"/>
        <w:rPr>
          <w:rFonts w:ascii="Times New Roman" w:eastAsia="Times New Roman" w:hAnsi="Times New Roman" w:cs="Times New Roman"/>
          <w:b/>
          <w:szCs w:val="24"/>
        </w:rPr>
      </w:pPr>
      <w:r w:rsidRPr="00955A9B">
        <w:rPr>
          <w:rFonts w:ascii="Times New Roman" w:eastAsia="Times New Roman" w:hAnsi="Times New Roman" w:cs="Times New Roman"/>
          <w:b/>
          <w:sz w:val="24"/>
          <w:szCs w:val="24"/>
        </w:rPr>
        <w:t>Stadio</w:t>
      </w:r>
      <w:r w:rsidRPr="00955A9B">
        <w:rPr>
          <w:rFonts w:ascii="Times New Roman" w:eastAsia="Times New Roman" w:hAnsi="Times New Roman" w:cs="Times New Roman"/>
          <w:szCs w:val="24"/>
        </w:rPr>
        <w:tab/>
      </w:r>
      <w:r w:rsidRPr="00955A9B">
        <w:rPr>
          <w:rFonts w:ascii="Times New Roman" w:eastAsia="Times New Roman" w:hAnsi="Times New Roman" w:cs="Times New Roman"/>
          <w:b/>
          <w:szCs w:val="24"/>
        </w:rPr>
        <w:t>Trattamento</w:t>
      </w:r>
    </w:p>
    <w:tbl>
      <w:tblPr>
        <w:tblW w:w="9640" w:type="dxa"/>
        <w:tblLayout w:type="fixed"/>
        <w:tblCellMar>
          <w:left w:w="0" w:type="dxa"/>
          <w:right w:w="0" w:type="dxa"/>
        </w:tblCellMar>
        <w:tblLook w:val="0000" w:firstRow="0" w:lastRow="0" w:firstColumn="0" w:lastColumn="0" w:noHBand="0" w:noVBand="0"/>
      </w:tblPr>
      <w:tblGrid>
        <w:gridCol w:w="2180"/>
        <w:gridCol w:w="20"/>
        <w:gridCol w:w="7440"/>
      </w:tblGrid>
      <w:tr w:rsidR="00955A9B" w:rsidRPr="00955A9B" w14:paraId="0878E7E0" w14:textId="77777777" w:rsidTr="00082046">
        <w:trPr>
          <w:trHeight w:val="281"/>
        </w:trPr>
        <w:tc>
          <w:tcPr>
            <w:tcW w:w="2180" w:type="dxa"/>
            <w:shd w:val="clear" w:color="auto" w:fill="auto"/>
            <w:vAlign w:val="bottom"/>
          </w:tcPr>
          <w:p w14:paraId="15E70CC8" w14:textId="5182CF14" w:rsidR="00953E6A" w:rsidRPr="00955A9B" w:rsidRDefault="007836F3" w:rsidP="00955A9B">
            <w:pPr>
              <w:spacing w:line="240" w:lineRule="auto"/>
              <w:ind w:left="120"/>
              <w:rPr>
                <w:rFonts w:ascii="Times New Roman" w:eastAsia="Times New Roman" w:hAnsi="Times New Roman" w:cs="Times New Roman"/>
                <w:b/>
                <w:szCs w:val="24"/>
              </w:rPr>
            </w:pPr>
            <w:r w:rsidRPr="00955A9B">
              <w:rPr>
                <w:rFonts w:ascii="Times New Roman" w:eastAsia="Times New Roman" w:hAnsi="Times New Roman" w:cs="Times New Roman"/>
                <w:b/>
                <w:noProof/>
                <w:szCs w:val="24"/>
                <w:lang w:eastAsia="it-IT"/>
              </w:rPr>
              <mc:AlternateContent>
                <mc:Choice Requires="wps">
                  <w:drawing>
                    <wp:anchor distT="4294967295" distB="4294967295" distL="114300" distR="114300" simplePos="0" relativeHeight="251662336" behindDoc="1" locked="0" layoutInCell="1" allowOverlap="1" wp14:anchorId="242053FE" wp14:editId="13C396F4">
                      <wp:simplePos x="0" y="0"/>
                      <wp:positionH relativeFrom="column">
                        <wp:posOffset>2540</wp:posOffset>
                      </wp:positionH>
                      <wp:positionV relativeFrom="paragraph">
                        <wp:posOffset>233679</wp:posOffset>
                      </wp:positionV>
                      <wp:extent cx="6115685" cy="0"/>
                      <wp:effectExtent l="0" t="0" r="18415" b="0"/>
                      <wp:wrapNone/>
                      <wp:docPr id="4"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37A1F3" id="Connettore diritto 4"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8.4pt" to="481.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" strokecolor="#7f7f7f" strokeweight=".16931mm"/>
                  </w:pict>
                </mc:Fallback>
              </mc:AlternateContent>
            </w:r>
            <w:r w:rsidR="00953E6A" w:rsidRPr="00955A9B">
              <w:rPr>
                <w:rFonts w:ascii="Times New Roman" w:eastAsia="Times New Roman" w:hAnsi="Times New Roman" w:cs="Times New Roman"/>
                <w:b/>
                <w:szCs w:val="24"/>
              </w:rPr>
              <w:t>Tis-T1a, N0</w:t>
            </w:r>
          </w:p>
        </w:tc>
        <w:tc>
          <w:tcPr>
            <w:tcW w:w="7460" w:type="dxa"/>
            <w:gridSpan w:val="2"/>
            <w:shd w:val="clear" w:color="auto" w:fill="auto"/>
            <w:vAlign w:val="bottom"/>
          </w:tcPr>
          <w:p w14:paraId="5BE20223" w14:textId="77777777" w:rsidR="00953E6A" w:rsidRPr="00955A9B" w:rsidRDefault="00953E6A" w:rsidP="00955A9B">
            <w:pPr>
              <w:spacing w:line="240" w:lineRule="auto"/>
              <w:ind w:left="340"/>
              <w:rPr>
                <w:rFonts w:ascii="Times New Roman" w:eastAsia="Times New Roman" w:hAnsi="Times New Roman" w:cs="Times New Roman"/>
                <w:szCs w:val="24"/>
              </w:rPr>
            </w:pPr>
            <w:r w:rsidRPr="001F6F3D">
              <w:rPr>
                <w:rFonts w:ascii="Times New Roman" w:eastAsia="Times New Roman" w:hAnsi="Times New Roman" w:cs="Times New Roman"/>
                <w:b/>
                <w:szCs w:val="24"/>
              </w:rPr>
              <w:t>Chirurgico</w:t>
            </w:r>
            <w:r w:rsidRPr="00955A9B">
              <w:rPr>
                <w:rFonts w:ascii="Times New Roman" w:eastAsia="Times New Roman" w:hAnsi="Times New Roman" w:cs="Times New Roman"/>
                <w:szCs w:val="24"/>
              </w:rPr>
              <w:t>:</w:t>
            </w:r>
          </w:p>
        </w:tc>
      </w:tr>
      <w:tr w:rsidR="0074421F" w:rsidRPr="00955A9B" w14:paraId="4B3E351D" w14:textId="77777777" w:rsidTr="00082046">
        <w:trPr>
          <w:trHeight w:val="2891"/>
        </w:trPr>
        <w:tc>
          <w:tcPr>
            <w:tcW w:w="2180" w:type="dxa"/>
            <w:tcBorders>
              <w:bottom w:val="single" w:sz="4" w:space="0" w:color="auto"/>
            </w:tcBorders>
            <w:shd w:val="clear" w:color="auto" w:fill="auto"/>
            <w:vAlign w:val="bottom"/>
          </w:tcPr>
          <w:p w14:paraId="21642E6E" w14:textId="77777777" w:rsidR="0074421F" w:rsidRPr="00955A9B" w:rsidRDefault="0074421F" w:rsidP="00955A9B">
            <w:pPr>
              <w:spacing w:line="240" w:lineRule="auto"/>
              <w:rPr>
                <w:rFonts w:ascii="Times New Roman" w:eastAsia="Times New Roman" w:hAnsi="Times New Roman" w:cs="Times New Roman"/>
                <w:szCs w:val="24"/>
              </w:rPr>
            </w:pPr>
          </w:p>
        </w:tc>
        <w:tc>
          <w:tcPr>
            <w:tcW w:w="7460" w:type="dxa"/>
            <w:gridSpan w:val="2"/>
            <w:tcBorders>
              <w:bottom w:val="single" w:sz="4" w:space="0" w:color="auto"/>
            </w:tcBorders>
            <w:shd w:val="clear" w:color="auto" w:fill="auto"/>
            <w:vAlign w:val="bottom"/>
          </w:tcPr>
          <w:p w14:paraId="1A8BBC94"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hAnsi="Times New Roman" w:cs="Times New Roman"/>
                <w:szCs w:val="24"/>
              </w:rPr>
              <w:t xml:space="preserve">         -  </w:t>
            </w:r>
            <w:r w:rsidRPr="00955A9B">
              <w:rPr>
                <w:rFonts w:ascii="Times New Roman" w:eastAsia="Times New Roman" w:hAnsi="Times New Roman" w:cs="Times New Roman"/>
                <w:szCs w:val="24"/>
              </w:rPr>
              <w:t>Resezione endoscopica mucosale (EMR) oppure</w:t>
            </w:r>
          </w:p>
          <w:p w14:paraId="7DCE2E36"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hAnsi="Times New Roman" w:cs="Times New Roman"/>
                <w:szCs w:val="24"/>
              </w:rPr>
              <w:t xml:space="preserve">         -  </w:t>
            </w:r>
            <w:r w:rsidRPr="00955A9B">
              <w:rPr>
                <w:rFonts w:ascii="Times New Roman" w:eastAsia="Times New Roman" w:hAnsi="Times New Roman" w:cs="Times New Roman"/>
                <w:szCs w:val="24"/>
              </w:rPr>
              <w:t>Dissezione endoscopica sottomucosale (ESD) in caso di tumori</w:t>
            </w:r>
          </w:p>
          <w:p w14:paraId="69CFD383"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szCs w:val="24"/>
              </w:rPr>
              <w:t>&lt; 20 mm, G1, sen</w:t>
            </w:r>
            <w:r>
              <w:rPr>
                <w:rFonts w:ascii="Times New Roman" w:eastAsia="Times New Roman" w:hAnsi="Times New Roman" w:cs="Times New Roman"/>
                <w:szCs w:val="24"/>
              </w:rPr>
              <w:t>z</w:t>
            </w:r>
            <w:r w:rsidRPr="00955A9B">
              <w:rPr>
                <w:rFonts w:ascii="Times New Roman" w:eastAsia="Times New Roman" w:hAnsi="Times New Roman" w:cs="Times New Roman"/>
                <w:szCs w:val="24"/>
              </w:rPr>
              <w:t>a invasione vascolare e/o linfatica</w:t>
            </w:r>
          </w:p>
          <w:p w14:paraId="64F23935" w14:textId="77777777" w:rsidR="0074421F" w:rsidRPr="00955A9B" w:rsidRDefault="0074421F" w:rsidP="00955A9B">
            <w:pPr>
              <w:spacing w:line="240" w:lineRule="auto"/>
              <w:rPr>
                <w:rFonts w:ascii="Times New Roman" w:eastAsia="Times New Roman" w:hAnsi="Times New Roman" w:cs="Times New Roman"/>
                <w:szCs w:val="24"/>
              </w:rPr>
            </w:pPr>
            <w:r w:rsidRPr="00955A9B">
              <w:rPr>
                <w:rFonts w:ascii="Times New Roman" w:hAnsi="Times New Roman" w:cs="Times New Roman"/>
                <w:szCs w:val="24"/>
              </w:rPr>
              <w:t xml:space="preserve">          -  </w:t>
            </w:r>
            <w:r w:rsidRPr="00955A9B">
              <w:rPr>
                <w:rFonts w:ascii="Times New Roman" w:eastAsia="Times New Roman" w:hAnsi="Times New Roman" w:cs="Times New Roman"/>
                <w:szCs w:val="24"/>
              </w:rPr>
              <w:t>Gastrectomia R0, totale o subtotale distale in base alla sede della</w:t>
            </w:r>
          </w:p>
          <w:p w14:paraId="3B898051" w14:textId="77777777" w:rsidR="0074421F" w:rsidRPr="00955A9B" w:rsidRDefault="0074421F" w:rsidP="00955A9B">
            <w:pPr>
              <w:spacing w:line="240" w:lineRule="auto"/>
              <w:ind w:left="140"/>
              <w:rPr>
                <w:rFonts w:ascii="Times New Roman" w:eastAsia="Times New Roman" w:hAnsi="Times New Roman" w:cs="Times New Roman"/>
                <w:szCs w:val="24"/>
              </w:rPr>
            </w:pPr>
            <w:r w:rsidRPr="00955A9B">
              <w:rPr>
                <w:rFonts w:ascii="Times New Roman" w:eastAsia="Times New Roman" w:hAnsi="Times New Roman" w:cs="Times New Roman"/>
                <w:szCs w:val="24"/>
              </w:rPr>
              <w:t>neoplasia con linfoadenectomia D1-D2 e ricostruzione alla Roux</w:t>
            </w:r>
          </w:p>
          <w:p w14:paraId="1B55F254" w14:textId="250C8A01" w:rsidR="0074421F" w:rsidRPr="00955A9B" w:rsidRDefault="0074421F" w:rsidP="00955A9B">
            <w:pPr>
              <w:spacing w:line="240" w:lineRule="auto"/>
              <w:ind w:left="140"/>
              <w:rPr>
                <w:rFonts w:ascii="Times New Roman" w:eastAsia="Times New Roman" w:hAnsi="Times New Roman" w:cs="Times New Roman"/>
                <w:szCs w:val="24"/>
              </w:rPr>
            </w:pPr>
            <w:r w:rsidRPr="00955A9B">
              <w:rPr>
                <w:rFonts w:ascii="Times New Roman" w:eastAsia="Times New Roman" w:hAnsi="Times New Roman" w:cs="Times New Roman"/>
                <w:szCs w:val="24"/>
              </w:rPr>
              <w:t>(da preferire rispetto alla Billroth)</w:t>
            </w:r>
          </w:p>
        </w:tc>
      </w:tr>
      <w:tr w:rsidR="00955A9B" w:rsidRPr="00955A9B" w14:paraId="2D0FE533" w14:textId="77777777" w:rsidTr="00082046">
        <w:trPr>
          <w:trHeight w:val="582"/>
        </w:trPr>
        <w:tc>
          <w:tcPr>
            <w:tcW w:w="2180" w:type="dxa"/>
            <w:tcBorders>
              <w:top w:val="single" w:sz="4" w:space="0" w:color="auto"/>
            </w:tcBorders>
            <w:shd w:val="clear" w:color="auto" w:fill="auto"/>
            <w:vAlign w:val="bottom"/>
          </w:tcPr>
          <w:p w14:paraId="19CA5C5C" w14:textId="77777777" w:rsidR="00953E6A" w:rsidRPr="00955A9B" w:rsidRDefault="00953E6A" w:rsidP="00955A9B">
            <w:pPr>
              <w:spacing w:line="240" w:lineRule="auto"/>
              <w:ind w:left="120"/>
              <w:rPr>
                <w:rFonts w:ascii="Times New Roman" w:eastAsia="Times New Roman" w:hAnsi="Times New Roman" w:cs="Times New Roman"/>
                <w:b/>
                <w:szCs w:val="24"/>
              </w:rPr>
            </w:pPr>
            <w:r w:rsidRPr="00955A9B">
              <w:rPr>
                <w:rFonts w:ascii="Times New Roman" w:eastAsia="Times New Roman" w:hAnsi="Times New Roman" w:cs="Times New Roman"/>
                <w:b/>
                <w:szCs w:val="24"/>
              </w:rPr>
              <w:t>T1b, N0</w:t>
            </w:r>
          </w:p>
        </w:tc>
        <w:tc>
          <w:tcPr>
            <w:tcW w:w="7460" w:type="dxa"/>
            <w:gridSpan w:val="2"/>
            <w:tcBorders>
              <w:top w:val="single" w:sz="4" w:space="0" w:color="auto"/>
            </w:tcBorders>
            <w:shd w:val="clear" w:color="auto" w:fill="auto"/>
            <w:vAlign w:val="bottom"/>
          </w:tcPr>
          <w:p w14:paraId="0345EFDF" w14:textId="77777777" w:rsidR="00953E6A" w:rsidRPr="00955A9B" w:rsidRDefault="00953E6A" w:rsidP="00955A9B">
            <w:pPr>
              <w:spacing w:line="240" w:lineRule="auto"/>
              <w:ind w:left="340"/>
              <w:rPr>
                <w:rFonts w:ascii="Times New Roman" w:eastAsia="Times New Roman" w:hAnsi="Times New Roman" w:cs="Times New Roman"/>
                <w:szCs w:val="24"/>
              </w:rPr>
            </w:pPr>
            <w:r w:rsidRPr="001F6F3D">
              <w:rPr>
                <w:rFonts w:ascii="Times New Roman" w:eastAsia="Times New Roman" w:hAnsi="Times New Roman" w:cs="Times New Roman"/>
                <w:b/>
                <w:szCs w:val="24"/>
              </w:rPr>
              <w:t>Chirurgico</w:t>
            </w:r>
            <w:r w:rsidRPr="00955A9B">
              <w:rPr>
                <w:rFonts w:ascii="Times New Roman" w:eastAsia="Times New Roman" w:hAnsi="Times New Roman" w:cs="Times New Roman"/>
                <w:szCs w:val="24"/>
              </w:rPr>
              <w:t>:</w:t>
            </w:r>
          </w:p>
        </w:tc>
      </w:tr>
      <w:tr w:rsidR="0074421F" w:rsidRPr="00955A9B" w14:paraId="78BCB215" w14:textId="77777777" w:rsidTr="00082046">
        <w:trPr>
          <w:trHeight w:val="327"/>
        </w:trPr>
        <w:tc>
          <w:tcPr>
            <w:tcW w:w="2180" w:type="dxa"/>
            <w:tcBorders>
              <w:bottom w:val="single" w:sz="4" w:space="0" w:color="auto"/>
            </w:tcBorders>
            <w:shd w:val="clear" w:color="auto" w:fill="auto"/>
            <w:vAlign w:val="bottom"/>
          </w:tcPr>
          <w:p w14:paraId="55D8AF4B" w14:textId="77777777" w:rsidR="0074421F" w:rsidRPr="00955A9B" w:rsidRDefault="0074421F" w:rsidP="00955A9B">
            <w:pPr>
              <w:spacing w:line="240" w:lineRule="auto"/>
              <w:rPr>
                <w:rFonts w:ascii="Times New Roman" w:eastAsia="Times New Roman" w:hAnsi="Times New Roman" w:cs="Times New Roman"/>
                <w:szCs w:val="24"/>
              </w:rPr>
            </w:pPr>
          </w:p>
        </w:tc>
        <w:tc>
          <w:tcPr>
            <w:tcW w:w="7460" w:type="dxa"/>
            <w:gridSpan w:val="2"/>
            <w:tcBorders>
              <w:bottom w:val="single" w:sz="4" w:space="0" w:color="auto"/>
            </w:tcBorders>
            <w:shd w:val="clear" w:color="auto" w:fill="auto"/>
            <w:vAlign w:val="bottom"/>
          </w:tcPr>
          <w:p w14:paraId="4EC0843D" w14:textId="77777777" w:rsidR="0074421F" w:rsidRPr="0074421F" w:rsidRDefault="0074421F" w:rsidP="0074421F">
            <w:pPr>
              <w:spacing w:line="240" w:lineRule="auto"/>
              <w:ind w:left="700"/>
              <w:rPr>
                <w:rFonts w:ascii="Times New Roman" w:eastAsia="Times New Roman" w:hAnsi="Times New Roman" w:cs="Times New Roman"/>
                <w:szCs w:val="24"/>
              </w:rPr>
            </w:pPr>
            <w:r w:rsidRPr="00955A9B">
              <w:rPr>
                <w:rFonts w:ascii="Times New Roman" w:hAnsi="Times New Roman" w:cs="Times New Roman"/>
                <w:szCs w:val="24"/>
              </w:rPr>
              <w:t xml:space="preserve">-  </w:t>
            </w:r>
            <w:r w:rsidRPr="0074421F">
              <w:rPr>
                <w:rFonts w:ascii="Times New Roman" w:eastAsia="Times New Roman" w:hAnsi="Times New Roman" w:cs="Times New Roman"/>
                <w:szCs w:val="24"/>
              </w:rPr>
              <w:t>Gastrectomia R0, totale o subtotale distale in base alla sede della</w:t>
            </w:r>
          </w:p>
          <w:p w14:paraId="4A9DF440" w14:textId="77777777" w:rsidR="0074421F" w:rsidRPr="0074421F" w:rsidRDefault="0074421F" w:rsidP="0074421F">
            <w:pPr>
              <w:spacing w:line="240" w:lineRule="auto"/>
              <w:ind w:left="700"/>
              <w:rPr>
                <w:rFonts w:ascii="Times New Roman" w:eastAsia="Times New Roman" w:hAnsi="Times New Roman" w:cs="Times New Roman"/>
                <w:szCs w:val="24"/>
              </w:rPr>
            </w:pPr>
            <w:r w:rsidRPr="0074421F">
              <w:rPr>
                <w:rFonts w:ascii="Times New Roman" w:eastAsia="Times New Roman" w:hAnsi="Times New Roman" w:cs="Times New Roman"/>
                <w:szCs w:val="24"/>
              </w:rPr>
              <w:t>neoplasia con linfoadenectomia D2 e ricostruzione alla Roux (da</w:t>
            </w:r>
          </w:p>
          <w:p w14:paraId="74C9B1F3" w14:textId="0BBAA06C" w:rsidR="0074421F" w:rsidRPr="00955A9B" w:rsidRDefault="0074421F" w:rsidP="0074421F">
            <w:pPr>
              <w:spacing w:line="240" w:lineRule="auto"/>
              <w:ind w:left="700"/>
              <w:rPr>
                <w:rFonts w:ascii="Times New Roman" w:eastAsia="Times New Roman" w:hAnsi="Times New Roman" w:cs="Times New Roman"/>
                <w:szCs w:val="24"/>
              </w:rPr>
            </w:pPr>
            <w:r w:rsidRPr="0074421F">
              <w:rPr>
                <w:rFonts w:ascii="Times New Roman" w:eastAsia="Times New Roman" w:hAnsi="Times New Roman" w:cs="Times New Roman"/>
                <w:szCs w:val="24"/>
              </w:rPr>
              <w:t>pr</w:t>
            </w:r>
            <w:r>
              <w:rPr>
                <w:rFonts w:ascii="Times New Roman" w:eastAsia="Times New Roman" w:hAnsi="Times New Roman" w:cs="Times New Roman"/>
                <w:szCs w:val="24"/>
              </w:rPr>
              <w:t>eferire rispetto alla Billroth)</w:t>
            </w:r>
          </w:p>
        </w:tc>
      </w:tr>
      <w:tr w:rsidR="00955A9B" w:rsidRPr="00955A9B" w14:paraId="32EE143B" w14:textId="77777777" w:rsidTr="00082046">
        <w:trPr>
          <w:trHeight w:val="582"/>
        </w:trPr>
        <w:tc>
          <w:tcPr>
            <w:tcW w:w="2180" w:type="dxa"/>
            <w:tcBorders>
              <w:top w:val="single" w:sz="4" w:space="0" w:color="auto"/>
              <w:bottom w:val="single" w:sz="4" w:space="0" w:color="auto"/>
            </w:tcBorders>
            <w:shd w:val="clear" w:color="auto" w:fill="auto"/>
            <w:vAlign w:val="bottom"/>
          </w:tcPr>
          <w:p w14:paraId="2687E88E" w14:textId="77777777" w:rsidR="00953E6A" w:rsidRPr="00955A9B" w:rsidRDefault="00953E6A" w:rsidP="00955A9B">
            <w:pPr>
              <w:spacing w:line="240" w:lineRule="auto"/>
              <w:ind w:left="120"/>
              <w:rPr>
                <w:rFonts w:ascii="Times New Roman" w:eastAsia="Times New Roman" w:hAnsi="Times New Roman" w:cs="Times New Roman"/>
                <w:b/>
                <w:szCs w:val="24"/>
              </w:rPr>
            </w:pPr>
            <w:r w:rsidRPr="00955A9B">
              <w:rPr>
                <w:rFonts w:ascii="Times New Roman" w:eastAsia="Times New Roman" w:hAnsi="Times New Roman" w:cs="Times New Roman"/>
                <w:b/>
                <w:szCs w:val="24"/>
              </w:rPr>
              <w:t>≥ T2 o N+</w:t>
            </w:r>
          </w:p>
        </w:tc>
        <w:tc>
          <w:tcPr>
            <w:tcW w:w="7460" w:type="dxa"/>
            <w:gridSpan w:val="2"/>
            <w:tcBorders>
              <w:top w:val="single" w:sz="4" w:space="0" w:color="auto"/>
              <w:bottom w:val="single" w:sz="4" w:space="0" w:color="auto"/>
            </w:tcBorders>
            <w:shd w:val="clear" w:color="auto" w:fill="auto"/>
            <w:vAlign w:val="bottom"/>
          </w:tcPr>
          <w:p w14:paraId="0D6435D4" w14:textId="77777777" w:rsidR="00953E6A" w:rsidRDefault="00953E6A" w:rsidP="00955A9B">
            <w:pPr>
              <w:spacing w:line="240" w:lineRule="auto"/>
              <w:ind w:left="340"/>
              <w:rPr>
                <w:rFonts w:ascii="Times New Roman" w:eastAsia="Times New Roman" w:hAnsi="Times New Roman" w:cs="Times New Roman"/>
                <w:b/>
                <w:szCs w:val="24"/>
              </w:rPr>
            </w:pPr>
            <w:r w:rsidRPr="001F6F3D">
              <w:rPr>
                <w:rFonts w:ascii="Times New Roman" w:eastAsia="Times New Roman" w:hAnsi="Times New Roman" w:cs="Times New Roman"/>
                <w:b/>
                <w:szCs w:val="24"/>
              </w:rPr>
              <w:t>Trattamenti integrati:</w:t>
            </w:r>
          </w:p>
          <w:p w14:paraId="710FB93F" w14:textId="77777777" w:rsidR="0074421F" w:rsidRPr="0074421F" w:rsidRDefault="0074421F" w:rsidP="0074421F">
            <w:pPr>
              <w:spacing w:line="240" w:lineRule="auto"/>
              <w:ind w:left="340"/>
              <w:rPr>
                <w:rFonts w:ascii="Times New Roman" w:eastAsia="Times New Roman" w:hAnsi="Times New Roman" w:cs="Times New Roman"/>
                <w:szCs w:val="24"/>
              </w:rPr>
            </w:pPr>
            <w:r w:rsidRPr="0074421F">
              <w:rPr>
                <w:rFonts w:ascii="Times New Roman" w:eastAsia="Times New Roman" w:hAnsi="Times New Roman" w:cs="Times New Roman"/>
                <w:b/>
                <w:szCs w:val="24"/>
              </w:rPr>
              <w:t xml:space="preserve">- </w:t>
            </w:r>
            <w:r w:rsidRPr="0074421F">
              <w:rPr>
                <w:rFonts w:ascii="Times New Roman" w:eastAsia="Times New Roman" w:hAnsi="Times New Roman" w:cs="Times New Roman"/>
                <w:szCs w:val="24"/>
              </w:rPr>
              <w:t>Polichemioterapia perioperatoria e chirurgia</w:t>
            </w:r>
          </w:p>
          <w:p w14:paraId="0342AC9D" w14:textId="77777777" w:rsidR="0074421F" w:rsidRPr="0074421F" w:rsidRDefault="0074421F" w:rsidP="0074421F">
            <w:pPr>
              <w:spacing w:line="240" w:lineRule="auto"/>
              <w:ind w:left="340"/>
              <w:rPr>
                <w:rFonts w:ascii="Times New Roman" w:eastAsia="Times New Roman" w:hAnsi="Times New Roman" w:cs="Times New Roman"/>
                <w:szCs w:val="24"/>
              </w:rPr>
            </w:pPr>
            <w:r w:rsidRPr="0074421F">
              <w:rPr>
                <w:rFonts w:ascii="Times New Roman" w:eastAsia="Times New Roman" w:hAnsi="Times New Roman" w:cs="Times New Roman"/>
                <w:szCs w:val="24"/>
              </w:rPr>
              <w:t>- Radiochemioterapia preoperatoria nelle forme giunzionali in</w:t>
            </w:r>
          </w:p>
          <w:p w14:paraId="3E8B2F05" w14:textId="36C90FCE" w:rsidR="0074421F" w:rsidRDefault="0074421F" w:rsidP="0074421F">
            <w:pPr>
              <w:spacing w:line="240" w:lineRule="auto"/>
              <w:ind w:left="340"/>
              <w:rPr>
                <w:rFonts w:ascii="Times New Roman" w:eastAsia="Times New Roman" w:hAnsi="Times New Roman" w:cs="Times New Roman"/>
                <w:szCs w:val="24"/>
              </w:rPr>
            </w:pPr>
            <w:r w:rsidRPr="0074421F">
              <w:rPr>
                <w:rFonts w:ascii="Times New Roman" w:eastAsia="Times New Roman" w:hAnsi="Times New Roman" w:cs="Times New Roman"/>
                <w:szCs w:val="24"/>
              </w:rPr>
              <w:t>pazienti con buon performance status (PS</w:t>
            </w:r>
            <w:r>
              <w:rPr>
                <w:rFonts w:ascii="Times New Roman" w:eastAsia="Times New Roman" w:hAnsi="Times New Roman" w:cs="Times New Roman"/>
                <w:szCs w:val="24"/>
              </w:rPr>
              <w:t>)</w:t>
            </w:r>
            <w:r w:rsidR="00F9594D">
              <w:rPr>
                <w:rFonts w:ascii="Times New Roman" w:eastAsia="Times New Roman" w:hAnsi="Times New Roman" w:cs="Times New Roman"/>
                <w:szCs w:val="24"/>
              </w:rPr>
              <w:t>, in casi selezionati</w:t>
            </w:r>
          </w:p>
          <w:p w14:paraId="188ED871" w14:textId="77777777" w:rsidR="0074421F" w:rsidRPr="0074421F" w:rsidRDefault="0074421F" w:rsidP="0074421F">
            <w:pPr>
              <w:spacing w:line="240" w:lineRule="auto"/>
              <w:ind w:left="340"/>
              <w:rPr>
                <w:rFonts w:ascii="Times New Roman" w:eastAsia="Times New Roman" w:hAnsi="Times New Roman" w:cs="Times New Roman"/>
                <w:szCs w:val="24"/>
              </w:rPr>
            </w:pPr>
            <w:r>
              <w:rPr>
                <w:rFonts w:ascii="Times New Roman" w:eastAsia="Times New Roman" w:hAnsi="Times New Roman" w:cs="Times New Roman"/>
                <w:szCs w:val="24"/>
              </w:rPr>
              <w:t>-</w:t>
            </w:r>
            <w:r w:rsidRPr="0074421F">
              <w:rPr>
                <w:rFonts w:ascii="Times New Roman" w:eastAsia="Times New Roman" w:hAnsi="Times New Roman" w:cs="Times New Roman"/>
                <w:szCs w:val="24"/>
              </w:rPr>
              <w:t xml:space="preserve"> Chirurgia seguita da monochemioterapia adiuvante o da</w:t>
            </w:r>
          </w:p>
          <w:p w14:paraId="3B1234D4" w14:textId="77777777" w:rsidR="0074421F" w:rsidRPr="0074421F" w:rsidRDefault="0074421F" w:rsidP="0074421F">
            <w:pPr>
              <w:spacing w:line="240" w:lineRule="auto"/>
              <w:ind w:left="340"/>
              <w:rPr>
                <w:rFonts w:ascii="Times New Roman" w:eastAsia="Times New Roman" w:hAnsi="Times New Roman" w:cs="Times New Roman"/>
                <w:szCs w:val="24"/>
              </w:rPr>
            </w:pPr>
            <w:r w:rsidRPr="0074421F">
              <w:rPr>
                <w:rFonts w:ascii="Times New Roman" w:eastAsia="Times New Roman" w:hAnsi="Times New Roman" w:cs="Times New Roman"/>
                <w:szCs w:val="24"/>
              </w:rPr>
              <w:t>chemioradioterapia adiuvante in casi selezionati di resezioni R1 (residuo</w:t>
            </w:r>
          </w:p>
          <w:p w14:paraId="44817152" w14:textId="77777777" w:rsidR="0074421F" w:rsidRPr="0074421F" w:rsidRDefault="0074421F" w:rsidP="0074421F">
            <w:pPr>
              <w:spacing w:line="240" w:lineRule="auto"/>
              <w:ind w:left="340"/>
              <w:rPr>
                <w:rFonts w:ascii="Times New Roman" w:eastAsia="Times New Roman" w:hAnsi="Times New Roman" w:cs="Times New Roman"/>
                <w:szCs w:val="24"/>
              </w:rPr>
            </w:pPr>
            <w:r w:rsidRPr="0074421F">
              <w:rPr>
                <w:rFonts w:ascii="Times New Roman" w:eastAsia="Times New Roman" w:hAnsi="Times New Roman" w:cs="Times New Roman"/>
                <w:szCs w:val="24"/>
              </w:rPr>
              <w:t>microscopico) o linfoadenectomia&lt; D2. Tale opzione è da</w:t>
            </w:r>
          </w:p>
          <w:p w14:paraId="34E53B7E" w14:textId="77777777" w:rsidR="0074421F" w:rsidRPr="0074421F" w:rsidRDefault="0074421F" w:rsidP="0074421F">
            <w:pPr>
              <w:spacing w:line="240" w:lineRule="auto"/>
              <w:ind w:left="340"/>
              <w:rPr>
                <w:rFonts w:ascii="Times New Roman" w:eastAsia="Times New Roman" w:hAnsi="Times New Roman" w:cs="Times New Roman"/>
                <w:szCs w:val="24"/>
              </w:rPr>
            </w:pPr>
            <w:r w:rsidRPr="0074421F">
              <w:rPr>
                <w:rFonts w:ascii="Times New Roman" w:eastAsia="Times New Roman" w:hAnsi="Times New Roman" w:cs="Times New Roman"/>
                <w:szCs w:val="24"/>
              </w:rPr>
              <w:t>riservare a pazienti non trattati in fase preoperatoria, in quanto</w:t>
            </w:r>
          </w:p>
          <w:p w14:paraId="46F15246" w14:textId="59282F68" w:rsidR="0074421F" w:rsidRPr="001F6F3D" w:rsidRDefault="0074421F" w:rsidP="0074421F">
            <w:pPr>
              <w:spacing w:line="240" w:lineRule="auto"/>
              <w:ind w:left="340"/>
              <w:rPr>
                <w:rFonts w:ascii="Times New Roman" w:eastAsia="Times New Roman" w:hAnsi="Times New Roman" w:cs="Times New Roman"/>
                <w:b/>
                <w:szCs w:val="24"/>
              </w:rPr>
            </w:pPr>
            <w:r w:rsidRPr="0074421F">
              <w:rPr>
                <w:rFonts w:ascii="Times New Roman" w:eastAsia="Times New Roman" w:hAnsi="Times New Roman" w:cs="Times New Roman"/>
                <w:szCs w:val="24"/>
              </w:rPr>
              <w:t>sono sempre preferibili i trattamenti preoperatori.</w:t>
            </w:r>
          </w:p>
        </w:tc>
      </w:tr>
      <w:tr w:rsidR="0074421F" w:rsidRPr="00955A9B" w14:paraId="432EAACF" w14:textId="77777777" w:rsidTr="00082046">
        <w:trPr>
          <w:trHeight w:val="80"/>
        </w:trPr>
        <w:tc>
          <w:tcPr>
            <w:tcW w:w="2180" w:type="dxa"/>
            <w:vMerge w:val="restart"/>
            <w:tcBorders>
              <w:top w:val="single" w:sz="4" w:space="0" w:color="auto"/>
            </w:tcBorders>
            <w:shd w:val="clear" w:color="auto" w:fill="auto"/>
            <w:vAlign w:val="bottom"/>
          </w:tcPr>
          <w:p w14:paraId="1E0978BA" w14:textId="3F8B81DE" w:rsidR="0074421F" w:rsidRPr="00955A9B" w:rsidRDefault="0074421F" w:rsidP="00955A9B">
            <w:pPr>
              <w:spacing w:line="240" w:lineRule="auto"/>
              <w:ind w:left="120"/>
              <w:rPr>
                <w:rFonts w:ascii="Times New Roman" w:eastAsia="Times New Roman" w:hAnsi="Times New Roman" w:cs="Times New Roman"/>
                <w:b/>
                <w:szCs w:val="24"/>
              </w:rPr>
            </w:pPr>
            <w:r>
              <w:rPr>
                <w:rFonts w:ascii="Times New Roman" w:eastAsia="Times New Roman" w:hAnsi="Times New Roman" w:cs="Times New Roman"/>
                <w:b/>
                <w:szCs w:val="24"/>
              </w:rPr>
              <w:t>Paziente non resecabile per controindicazioni</w:t>
            </w:r>
          </w:p>
        </w:tc>
        <w:tc>
          <w:tcPr>
            <w:tcW w:w="20" w:type="dxa"/>
            <w:tcBorders>
              <w:top w:val="single" w:sz="4" w:space="0" w:color="auto"/>
            </w:tcBorders>
            <w:shd w:val="clear" w:color="auto" w:fill="auto"/>
            <w:vAlign w:val="bottom"/>
          </w:tcPr>
          <w:p w14:paraId="6C6946D8" w14:textId="77777777" w:rsidR="0074421F" w:rsidRPr="00955A9B" w:rsidRDefault="0074421F" w:rsidP="00955A9B">
            <w:pPr>
              <w:spacing w:line="240" w:lineRule="auto"/>
              <w:ind w:left="700"/>
              <w:rPr>
                <w:rFonts w:ascii="Times New Roman" w:hAnsi="Times New Roman" w:cs="Times New Roman"/>
                <w:szCs w:val="24"/>
              </w:rPr>
            </w:pPr>
            <w:r w:rsidRPr="00955A9B">
              <w:rPr>
                <w:rFonts w:ascii="Times New Roman" w:hAnsi="Times New Roman" w:cs="Times New Roman"/>
                <w:szCs w:val="24"/>
              </w:rPr>
              <w:t>-</w:t>
            </w:r>
          </w:p>
        </w:tc>
        <w:tc>
          <w:tcPr>
            <w:tcW w:w="7440" w:type="dxa"/>
            <w:vMerge w:val="restart"/>
            <w:tcBorders>
              <w:top w:val="single" w:sz="4" w:space="0" w:color="auto"/>
            </w:tcBorders>
            <w:shd w:val="clear" w:color="auto" w:fill="auto"/>
            <w:vAlign w:val="bottom"/>
          </w:tcPr>
          <w:p w14:paraId="49F8DF89" w14:textId="77777777" w:rsidR="0074421F" w:rsidRDefault="0074421F" w:rsidP="0074421F">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Medico:</w:t>
            </w:r>
          </w:p>
          <w:p w14:paraId="0297FB19" w14:textId="77777777" w:rsidR="0074421F" w:rsidRDefault="0074421F" w:rsidP="0074421F">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 Chemioradioterapia</w:t>
            </w:r>
          </w:p>
          <w:p w14:paraId="1DCFAD0E" w14:textId="561205C7" w:rsidR="0074421F" w:rsidRPr="00955A9B" w:rsidRDefault="0074421F" w:rsidP="0074421F">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-Chemioterapia esclusiva</w:t>
            </w:r>
          </w:p>
        </w:tc>
      </w:tr>
      <w:tr w:rsidR="0074421F" w:rsidRPr="00955A9B" w14:paraId="08042CF7" w14:textId="77777777" w:rsidTr="001F6F3D">
        <w:trPr>
          <w:trHeight w:val="41"/>
        </w:trPr>
        <w:tc>
          <w:tcPr>
            <w:tcW w:w="2180" w:type="dxa"/>
            <w:vMerge/>
            <w:tcBorders>
              <w:bottom w:val="single" w:sz="8" w:space="0" w:color="7F7F7F"/>
            </w:tcBorders>
            <w:shd w:val="clear" w:color="auto" w:fill="auto"/>
            <w:vAlign w:val="bottom"/>
          </w:tcPr>
          <w:p w14:paraId="705B8DEE" w14:textId="77777777" w:rsidR="0074421F" w:rsidRPr="00955A9B" w:rsidRDefault="0074421F" w:rsidP="00955A9B">
            <w:pPr>
              <w:spacing w:line="240" w:lineRule="auto"/>
              <w:rPr>
                <w:rFonts w:ascii="Times New Roman" w:eastAsia="Times New Roman" w:hAnsi="Times New Roman" w:cs="Times New Roman"/>
                <w:szCs w:val="24"/>
              </w:rPr>
            </w:pPr>
          </w:p>
        </w:tc>
        <w:tc>
          <w:tcPr>
            <w:tcW w:w="20" w:type="dxa"/>
            <w:tcBorders>
              <w:bottom w:val="single" w:sz="8" w:space="0" w:color="7F7F7F"/>
            </w:tcBorders>
            <w:shd w:val="clear" w:color="auto" w:fill="auto"/>
            <w:vAlign w:val="bottom"/>
          </w:tcPr>
          <w:p w14:paraId="0360CF49" w14:textId="77777777" w:rsidR="0074421F" w:rsidRPr="00955A9B" w:rsidRDefault="0074421F" w:rsidP="00955A9B">
            <w:pPr>
              <w:spacing w:line="240" w:lineRule="auto"/>
              <w:rPr>
                <w:rFonts w:ascii="Times New Roman" w:eastAsia="Times New Roman" w:hAnsi="Times New Roman" w:cs="Times New Roman"/>
                <w:szCs w:val="24"/>
              </w:rPr>
            </w:pPr>
          </w:p>
        </w:tc>
        <w:tc>
          <w:tcPr>
            <w:tcW w:w="7440" w:type="dxa"/>
            <w:vMerge/>
            <w:tcBorders>
              <w:bottom w:val="single" w:sz="8" w:space="0" w:color="7F7F7F"/>
            </w:tcBorders>
            <w:shd w:val="clear" w:color="auto" w:fill="auto"/>
            <w:vAlign w:val="bottom"/>
          </w:tcPr>
          <w:p w14:paraId="33FCE5AF" w14:textId="77777777" w:rsidR="0074421F" w:rsidRPr="00955A9B" w:rsidRDefault="0074421F" w:rsidP="00955A9B">
            <w:pPr>
              <w:spacing w:line="240" w:lineRule="auto"/>
              <w:rPr>
                <w:rFonts w:ascii="Times New Roman" w:eastAsia="Times New Roman" w:hAnsi="Times New Roman" w:cs="Times New Roman"/>
                <w:szCs w:val="24"/>
              </w:rPr>
            </w:pPr>
          </w:p>
        </w:tc>
      </w:tr>
    </w:tbl>
    <w:p w14:paraId="233DB0A9" w14:textId="283B0020" w:rsidR="00953E6A" w:rsidRPr="00955A9B" w:rsidRDefault="00953E6A" w:rsidP="00955A9B">
      <w:pPr>
        <w:spacing w:line="240" w:lineRule="auto"/>
        <w:rPr>
          <w:rFonts w:ascii="Times New Roman" w:eastAsia="Times New Roman" w:hAnsi="Times New Roman" w:cs="Times New Roman"/>
          <w:szCs w:val="24"/>
        </w:rPr>
      </w:pPr>
    </w:p>
    <w:p w14:paraId="158C6C1B" w14:textId="77777777" w:rsidR="00164E53" w:rsidRDefault="00164E53" w:rsidP="00955A9B">
      <w:pPr>
        <w:spacing w:line="360" w:lineRule="auto"/>
        <w:ind w:right="1040"/>
        <w:jc w:val="both"/>
        <w:rPr>
          <w:rFonts w:ascii="Times New Roman" w:eastAsia="Times New Roman" w:hAnsi="Times New Roman" w:cs="Times New Roman"/>
          <w:b/>
          <w:sz w:val="24"/>
          <w:szCs w:val="24"/>
        </w:rPr>
      </w:pPr>
    </w:p>
    <w:p w14:paraId="26C55235" w14:textId="736C1C73" w:rsidR="00953E6A" w:rsidRPr="00955A9B" w:rsidRDefault="00953E6A" w:rsidP="00955A9B">
      <w:pPr>
        <w:spacing w:line="360" w:lineRule="auto"/>
        <w:ind w:right="1040"/>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PERCORSO TERAPEUTICO PER PAZIENTE CON NEOPLASIA GASTRICA ACCERTATA ED IN FASE AVANZATA</w:t>
      </w:r>
    </w:p>
    <w:p w14:paraId="5091556C" w14:textId="77777777" w:rsidR="00953E6A" w:rsidRPr="00955A9B" w:rsidRDefault="00953E6A" w:rsidP="00955A9B">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Si riporta in tabella 7 il percorso terapeutico per persone affette da neoplasia gastrica in fase localmente avanzata o metastatica. I percorsi indicati sono stati costruiti in base alle raccomandazioni presenti nelle principali linee guida nazionali ed internazionali più aggiornate, e saranno modificati secondo la loro evoluzione.</w:t>
      </w:r>
    </w:p>
    <w:p w14:paraId="3C3EF30B" w14:textId="14E862A6" w:rsidR="00953E6A" w:rsidRPr="00955A9B" w:rsidRDefault="00953E6A" w:rsidP="00955A9B">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La chemioterapia rappresenta l’opzione terapeutica di riferimento per i pazienti con carcinoma gastrico localmente avanzato o metastatico. In caso di tumore localmente avanzato, è indispensabile una corretta e attenta valutazione della potenziale resecabilità della neoplasia (anche attraverso l'esecuzione di un'accurata stadiazione loco-regionale mediante ecoendoscopia nei centri di riferimento): i pazienti con tumore localmente avanzato, ma potenzialmente resecabile, infatti, saranno sottoposti a polichemioterapia di conversione neoadiuvante nell'ambito di strategia perioperatoria secondo le più recenti evidenze, con rivalutazioni strumentali al termine della fase primaria al fine di valutarne l’operabilità. Le figure professionali coinvolte nella valutazione pre-trattamento e nella rivalutazione saranno principalmente l’Oncologo medico, il radiologo, il medico nucleare</w:t>
      </w:r>
      <w:r w:rsidR="00E461E8" w:rsidRPr="00955A9B">
        <w:rPr>
          <w:rFonts w:ascii="Times New Roman" w:eastAsia="Times New Roman" w:hAnsi="Times New Roman" w:cs="Times New Roman"/>
          <w:sz w:val="24"/>
          <w:szCs w:val="24"/>
        </w:rPr>
        <w:t>, il radioterapista, l’endoscopista</w:t>
      </w:r>
      <w:r w:rsidRPr="00955A9B">
        <w:rPr>
          <w:rFonts w:ascii="Times New Roman" w:eastAsia="Times New Roman" w:hAnsi="Times New Roman" w:cs="Times New Roman"/>
          <w:sz w:val="24"/>
          <w:szCs w:val="24"/>
        </w:rPr>
        <w:t xml:space="preserve"> ed il Chirurgo. In caso di non risposta al trattamento o di malattia localmente avanzata, ma non resecabile alla diagnosi, il paziente verrà sottoposto ad un trattamento chemioterapico di I linea (vedi malattia metastatica).</w:t>
      </w:r>
    </w:p>
    <w:p w14:paraId="19CF307B" w14:textId="6D97E619" w:rsidR="00F9594D" w:rsidRDefault="00953E6A" w:rsidP="00F9594D">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In caso di tumore</w:t>
      </w:r>
      <w:r w:rsidR="00F9594D">
        <w:rPr>
          <w:rFonts w:ascii="Times New Roman" w:eastAsia="Times New Roman" w:hAnsi="Times New Roman" w:cs="Times New Roman"/>
          <w:sz w:val="24"/>
          <w:szCs w:val="24"/>
        </w:rPr>
        <w:t xml:space="preserve"> </w:t>
      </w:r>
      <w:r w:rsidR="00F9594D" w:rsidRPr="00F9594D">
        <w:rPr>
          <w:rFonts w:ascii="Times New Roman" w:eastAsia="Times New Roman" w:hAnsi="Times New Roman" w:cs="Times New Roman"/>
          <w:sz w:val="24"/>
          <w:szCs w:val="24"/>
        </w:rPr>
        <w:t xml:space="preserve">gastrico </w:t>
      </w:r>
      <w:r w:rsidR="00F9594D" w:rsidRPr="00082046">
        <w:rPr>
          <w:rFonts w:ascii="Times New Roman" w:eastAsia="Times New Roman" w:hAnsi="Times New Roman" w:cs="Times New Roman"/>
          <w:sz w:val="24"/>
          <w:szCs w:val="24"/>
        </w:rPr>
        <w:t>o della giunzione gastroesofagea (cardial</w:t>
      </w:r>
      <w:r w:rsidR="00F9594D">
        <w:rPr>
          <w:rFonts w:ascii="Times New Roman" w:eastAsia="Times New Roman" w:hAnsi="Times New Roman" w:cs="Times New Roman"/>
          <w:sz w:val="24"/>
          <w:szCs w:val="24"/>
        </w:rPr>
        <w:t>e</w:t>
      </w:r>
      <w:r w:rsidR="00F9594D" w:rsidRPr="00082046">
        <w:rPr>
          <w:rFonts w:ascii="Times New Roman" w:eastAsia="Times New Roman" w:hAnsi="Times New Roman" w:cs="Times New Roman"/>
          <w:sz w:val="24"/>
          <w:szCs w:val="24"/>
        </w:rPr>
        <w:t>)</w:t>
      </w:r>
      <w:r w:rsidRPr="00955A9B">
        <w:rPr>
          <w:rFonts w:ascii="Times New Roman" w:eastAsia="Times New Roman" w:hAnsi="Times New Roman" w:cs="Times New Roman"/>
          <w:sz w:val="24"/>
          <w:szCs w:val="24"/>
        </w:rPr>
        <w:t xml:space="preserve"> metastatico alla diagnosi, oggigiorno è mandatoria la valutazione </w:t>
      </w:r>
      <w:r w:rsidR="00C9491F">
        <w:rPr>
          <w:rFonts w:ascii="Times New Roman" w:eastAsia="Times New Roman" w:hAnsi="Times New Roman" w:cs="Times New Roman"/>
          <w:sz w:val="24"/>
          <w:szCs w:val="24"/>
        </w:rPr>
        <w:t xml:space="preserve">sul campione tumorale </w:t>
      </w:r>
      <w:r w:rsidRPr="00955A9B">
        <w:rPr>
          <w:rFonts w:ascii="Times New Roman" w:eastAsia="Times New Roman" w:hAnsi="Times New Roman" w:cs="Times New Roman"/>
          <w:sz w:val="24"/>
          <w:szCs w:val="24"/>
        </w:rPr>
        <w:t>dello stato d</w:t>
      </w:r>
      <w:r w:rsidR="00C9491F">
        <w:rPr>
          <w:rFonts w:ascii="Times New Roman" w:eastAsia="Times New Roman" w:hAnsi="Times New Roman" w:cs="Times New Roman"/>
          <w:sz w:val="24"/>
          <w:szCs w:val="24"/>
        </w:rPr>
        <w:t xml:space="preserve">i </w:t>
      </w:r>
      <w:r w:rsidRPr="00955A9B">
        <w:rPr>
          <w:rFonts w:ascii="Times New Roman" w:eastAsia="Times New Roman" w:hAnsi="Times New Roman" w:cs="Times New Roman"/>
          <w:sz w:val="24"/>
          <w:szCs w:val="24"/>
        </w:rPr>
        <w:t>espressione del recettore H</w:t>
      </w:r>
      <w:r w:rsidR="00C804AF" w:rsidRPr="00955A9B">
        <w:rPr>
          <w:rFonts w:ascii="Times New Roman" w:eastAsia="Times New Roman" w:hAnsi="Times New Roman" w:cs="Times New Roman"/>
          <w:sz w:val="24"/>
          <w:szCs w:val="24"/>
        </w:rPr>
        <w:t>ER</w:t>
      </w:r>
      <w:r w:rsidRPr="00955A9B">
        <w:rPr>
          <w:rFonts w:ascii="Times New Roman" w:eastAsia="Times New Roman" w:hAnsi="Times New Roman" w:cs="Times New Roman"/>
          <w:sz w:val="24"/>
          <w:szCs w:val="24"/>
        </w:rPr>
        <w:t>-2 mediante tecnica immunoistochimica e</w:t>
      </w:r>
      <w:r w:rsidR="00C9491F">
        <w:rPr>
          <w:rFonts w:ascii="Times New Roman" w:eastAsia="Times New Roman" w:hAnsi="Times New Roman" w:cs="Times New Roman"/>
          <w:sz w:val="24"/>
          <w:szCs w:val="24"/>
        </w:rPr>
        <w:t>d eventualmente</w:t>
      </w:r>
      <w:r w:rsidRPr="00955A9B">
        <w:rPr>
          <w:rFonts w:ascii="Times New Roman" w:eastAsia="Times New Roman" w:hAnsi="Times New Roman" w:cs="Times New Roman"/>
          <w:sz w:val="24"/>
          <w:szCs w:val="24"/>
        </w:rPr>
        <w:t xml:space="preserve"> di ibridazione in situ nei casi di dubbia positività (</w:t>
      </w:r>
      <w:r w:rsidR="00C9491F">
        <w:rPr>
          <w:rFonts w:ascii="Times New Roman" w:eastAsia="Times New Roman" w:hAnsi="Times New Roman" w:cs="Times New Roman"/>
          <w:sz w:val="24"/>
          <w:szCs w:val="24"/>
        </w:rPr>
        <w:t xml:space="preserve">score </w:t>
      </w:r>
      <w:r w:rsidRPr="00955A9B">
        <w:rPr>
          <w:rFonts w:ascii="Times New Roman" w:eastAsia="Times New Roman" w:hAnsi="Times New Roman" w:cs="Times New Roman"/>
          <w:sz w:val="24"/>
          <w:szCs w:val="24"/>
        </w:rPr>
        <w:t>2+). Tale valutazione deve necessariamente essere effettuata presso centri di anatomia patologica accreditati nell’ambito di strutture di I livello ed il risultato dovrà essere disponibile entro 7 giorni lavorativi dalla richiesta, salvo difficoltà tecniche caso specifiche.</w:t>
      </w:r>
      <w:r w:rsidR="00F9594D">
        <w:rPr>
          <w:rFonts w:ascii="Times New Roman" w:eastAsia="Times New Roman" w:hAnsi="Times New Roman" w:cs="Times New Roman"/>
          <w:sz w:val="24"/>
          <w:szCs w:val="24"/>
        </w:rPr>
        <w:t xml:space="preserve"> La positività dell’espressione del recettore di HER-2 (i.e. HER-2 2+ amplificato alla ISH o HER-2 3+), consente di candidare il paziente a ricevere una 1° linea di terapia con Sali di Platino, Fluoripirimidine e Trastuzumab </w:t>
      </w:r>
      <w:r w:rsidR="00DB0E72">
        <w:rPr>
          <w:rFonts w:ascii="Times New Roman" w:eastAsia="Times New Roman" w:hAnsi="Times New Roman" w:cs="Times New Roman"/>
          <w:sz w:val="24"/>
          <w:szCs w:val="24"/>
        </w:rPr>
        <w:t>in accordo con i</w:t>
      </w:r>
      <w:r w:rsidR="00F9594D">
        <w:rPr>
          <w:rFonts w:ascii="Times New Roman" w:eastAsia="Times New Roman" w:hAnsi="Times New Roman" w:cs="Times New Roman"/>
          <w:sz w:val="24"/>
          <w:szCs w:val="24"/>
        </w:rPr>
        <w:t xml:space="preserve"> risultati dello studio ToGA. Contestualmente, u</w:t>
      </w:r>
      <w:r w:rsidR="00F9594D" w:rsidRPr="00955A9B">
        <w:rPr>
          <w:rFonts w:ascii="Times New Roman" w:eastAsia="Times New Roman" w:hAnsi="Times New Roman" w:cs="Times New Roman"/>
          <w:sz w:val="24"/>
          <w:szCs w:val="24"/>
        </w:rPr>
        <w:t>n</w:t>
      </w:r>
      <w:r w:rsidR="00F9594D">
        <w:rPr>
          <w:rFonts w:ascii="Times New Roman" w:eastAsia="Times New Roman" w:hAnsi="Times New Roman" w:cs="Times New Roman"/>
          <w:sz w:val="24"/>
          <w:szCs w:val="24"/>
        </w:rPr>
        <w:t>a ulteriore</w:t>
      </w:r>
      <w:r w:rsidR="00F9594D" w:rsidRPr="00955A9B">
        <w:rPr>
          <w:rFonts w:ascii="Times New Roman" w:eastAsia="Times New Roman" w:hAnsi="Times New Roman" w:cs="Times New Roman"/>
          <w:sz w:val="24"/>
          <w:szCs w:val="24"/>
        </w:rPr>
        <w:t xml:space="preserve"> determinazione immunoistochimica </w:t>
      </w:r>
      <w:r w:rsidR="00F9594D">
        <w:rPr>
          <w:rFonts w:ascii="Times New Roman" w:eastAsia="Times New Roman" w:hAnsi="Times New Roman" w:cs="Times New Roman"/>
          <w:sz w:val="24"/>
          <w:szCs w:val="24"/>
        </w:rPr>
        <w:t xml:space="preserve">oggi indispensabile </w:t>
      </w:r>
      <w:r w:rsidR="00F9594D" w:rsidRPr="00955A9B">
        <w:rPr>
          <w:rFonts w:ascii="Times New Roman" w:eastAsia="Times New Roman" w:hAnsi="Times New Roman" w:cs="Times New Roman"/>
          <w:sz w:val="24"/>
          <w:szCs w:val="24"/>
        </w:rPr>
        <w:t>è rappresentata dall’analisi dello stato del recettore PD-L1 secondo CPS (</w:t>
      </w:r>
      <w:r w:rsidR="00F9594D" w:rsidRPr="00FC18CE">
        <w:rPr>
          <w:rFonts w:ascii="Times New Roman" w:eastAsia="Times New Roman" w:hAnsi="Times New Roman" w:cs="Times New Roman"/>
          <w:i/>
          <w:iCs/>
          <w:sz w:val="24"/>
          <w:szCs w:val="24"/>
        </w:rPr>
        <w:t>combined positive score</w:t>
      </w:r>
      <w:r w:rsidR="00F9594D" w:rsidRPr="00955A9B">
        <w:rPr>
          <w:rFonts w:ascii="Times New Roman" w:eastAsia="Times New Roman" w:hAnsi="Times New Roman" w:cs="Times New Roman"/>
          <w:sz w:val="24"/>
          <w:szCs w:val="24"/>
        </w:rPr>
        <w:t>)</w:t>
      </w:r>
      <w:r w:rsidR="00F9594D">
        <w:rPr>
          <w:rFonts w:ascii="Times New Roman" w:eastAsia="Times New Roman" w:hAnsi="Times New Roman" w:cs="Times New Roman"/>
          <w:sz w:val="24"/>
          <w:szCs w:val="24"/>
        </w:rPr>
        <w:t xml:space="preserve">. </w:t>
      </w:r>
      <w:r w:rsidR="00DB0E72">
        <w:rPr>
          <w:rFonts w:ascii="Times New Roman" w:eastAsia="Times New Roman" w:hAnsi="Times New Roman" w:cs="Times New Roman"/>
          <w:sz w:val="24"/>
          <w:szCs w:val="24"/>
        </w:rPr>
        <w:t>In presenza di</w:t>
      </w:r>
      <w:r w:rsidR="00F9594D">
        <w:rPr>
          <w:rFonts w:ascii="Times New Roman" w:eastAsia="Times New Roman" w:hAnsi="Times New Roman" w:cs="Times New Roman"/>
          <w:sz w:val="24"/>
          <w:szCs w:val="24"/>
        </w:rPr>
        <w:t xml:space="preserve"> positività per HER-2 e</w:t>
      </w:r>
      <w:r w:rsidR="00DB0E72">
        <w:rPr>
          <w:rFonts w:ascii="Times New Roman" w:eastAsia="Times New Roman" w:hAnsi="Times New Roman" w:cs="Times New Roman"/>
          <w:sz w:val="24"/>
          <w:szCs w:val="24"/>
        </w:rPr>
        <w:t xml:space="preserve"> </w:t>
      </w:r>
      <w:r w:rsidR="00F9594D">
        <w:rPr>
          <w:rFonts w:ascii="Times New Roman" w:eastAsia="Times New Roman" w:hAnsi="Times New Roman" w:cs="Times New Roman"/>
          <w:sz w:val="24"/>
          <w:szCs w:val="24"/>
        </w:rPr>
        <w:t>d</w:t>
      </w:r>
      <w:r w:rsidR="00DB0E72">
        <w:rPr>
          <w:rFonts w:ascii="Times New Roman" w:eastAsia="Times New Roman" w:hAnsi="Times New Roman" w:cs="Times New Roman"/>
          <w:sz w:val="24"/>
          <w:szCs w:val="24"/>
        </w:rPr>
        <w:t>i</w:t>
      </w:r>
      <w:r w:rsidR="00F9594D">
        <w:rPr>
          <w:rFonts w:ascii="Times New Roman" w:eastAsia="Times New Roman" w:hAnsi="Times New Roman" w:cs="Times New Roman"/>
          <w:sz w:val="24"/>
          <w:szCs w:val="24"/>
        </w:rPr>
        <w:t xml:space="preserve"> un PD-L1 </w:t>
      </w:r>
      <w:r w:rsidR="00F9594D" w:rsidRPr="00F9594D">
        <w:rPr>
          <w:rFonts w:ascii="Times New Roman" w:eastAsia="Times New Roman" w:hAnsi="Times New Roman" w:cs="Times New Roman"/>
          <w:sz w:val="24"/>
          <w:szCs w:val="24"/>
        </w:rPr>
        <w:t>CPS</w:t>
      </w:r>
      <w:r w:rsidR="00DB0E72">
        <w:rPr>
          <w:rFonts w:ascii="Times New Roman" w:eastAsia="Times New Roman" w:hAnsi="Times New Roman" w:cs="Times New Roman"/>
          <w:sz w:val="24"/>
          <w:szCs w:val="24"/>
        </w:rPr>
        <w:t xml:space="preserve"> </w:t>
      </w:r>
      <w:r w:rsidR="00DB0E72" w:rsidRPr="00DB0E72">
        <w:rPr>
          <w:rFonts w:ascii="Times New Roman" w:eastAsia="Times New Roman" w:hAnsi="Times New Roman" w:cs="Times New Roman"/>
          <w:sz w:val="24"/>
          <w:szCs w:val="24"/>
        </w:rPr>
        <w:t>≥</w:t>
      </w:r>
      <w:r w:rsidR="00F9594D" w:rsidRPr="00082046">
        <w:rPr>
          <w:rFonts w:ascii="Times New Roman" w:eastAsia="Times New Roman" w:hAnsi="Times New Roman" w:cs="Times New Roman"/>
          <w:sz w:val="24"/>
          <w:szCs w:val="24"/>
        </w:rPr>
        <w:t>1</w:t>
      </w:r>
      <w:r w:rsidR="00F9594D">
        <w:rPr>
          <w:rFonts w:ascii="Times New Roman" w:eastAsia="Times New Roman" w:hAnsi="Times New Roman" w:cs="Times New Roman"/>
          <w:sz w:val="24"/>
          <w:szCs w:val="24"/>
        </w:rPr>
        <w:t xml:space="preserve">, sulla base dei risultati dello studio Keynote 811, </w:t>
      </w:r>
      <w:r w:rsidR="00DB0E72">
        <w:rPr>
          <w:rFonts w:ascii="Times New Roman" w:eastAsia="Times New Roman" w:hAnsi="Times New Roman" w:cs="Times New Roman"/>
          <w:sz w:val="24"/>
          <w:szCs w:val="24"/>
        </w:rPr>
        <w:t xml:space="preserve">si deve </w:t>
      </w:r>
      <w:r w:rsidR="00F9594D">
        <w:rPr>
          <w:rFonts w:ascii="Times New Roman" w:eastAsia="Times New Roman" w:hAnsi="Times New Roman" w:cs="Times New Roman"/>
          <w:sz w:val="24"/>
          <w:szCs w:val="24"/>
        </w:rPr>
        <w:t>prendere in considerazione un trattamento che prevenda anche l’utilizzo dell’immunoterapia (Sali di Platino, Fluoripirimidine, Trastuzumab e Pembrolizumab)</w:t>
      </w:r>
      <w:r w:rsidR="00DB0E72">
        <w:rPr>
          <w:rFonts w:ascii="Times New Roman" w:eastAsia="Times New Roman" w:hAnsi="Times New Roman" w:cs="Times New Roman"/>
          <w:sz w:val="24"/>
          <w:szCs w:val="24"/>
        </w:rPr>
        <w:t>.</w:t>
      </w:r>
    </w:p>
    <w:p w14:paraId="7081880F" w14:textId="05495A44" w:rsidR="00C163BE" w:rsidRDefault="00C804AF"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 xml:space="preserve"> </w:t>
      </w:r>
      <w:r w:rsidR="00DB0E72">
        <w:rPr>
          <w:rFonts w:ascii="Times New Roman" w:eastAsia="Times New Roman" w:hAnsi="Times New Roman" w:cs="Times New Roman"/>
          <w:sz w:val="24"/>
          <w:szCs w:val="24"/>
        </w:rPr>
        <w:t xml:space="preserve">I pazienti HER-2 negativi, ma con espressione del PD-L1 CPS </w:t>
      </w:r>
      <w:r w:rsidR="00DB0E72" w:rsidRPr="00DB0E72">
        <w:rPr>
          <w:rFonts w:ascii="Times New Roman" w:eastAsia="Times New Roman" w:hAnsi="Times New Roman" w:cs="Times New Roman"/>
          <w:sz w:val="24"/>
          <w:szCs w:val="24"/>
        </w:rPr>
        <w:t>≥</w:t>
      </w:r>
      <w:r w:rsidR="00DB0E72">
        <w:rPr>
          <w:rFonts w:ascii="Times New Roman" w:eastAsia="Times New Roman" w:hAnsi="Times New Roman" w:cs="Times New Roman"/>
          <w:sz w:val="24"/>
          <w:szCs w:val="24"/>
        </w:rPr>
        <w:t xml:space="preserve"> 1 è possibile </w:t>
      </w:r>
      <w:r w:rsidR="00FC18CE">
        <w:rPr>
          <w:rFonts w:ascii="Times New Roman" w:eastAsia="Times New Roman" w:hAnsi="Times New Roman" w:cs="Times New Roman"/>
          <w:sz w:val="24"/>
          <w:szCs w:val="24"/>
        </w:rPr>
        <w:t>off</w:t>
      </w:r>
      <w:r w:rsidR="0097171F">
        <w:rPr>
          <w:rFonts w:ascii="Times New Roman" w:eastAsia="Times New Roman" w:hAnsi="Times New Roman" w:cs="Times New Roman"/>
          <w:sz w:val="24"/>
          <w:szCs w:val="24"/>
        </w:rPr>
        <w:t>r</w:t>
      </w:r>
      <w:r w:rsidR="00FC18CE">
        <w:rPr>
          <w:rFonts w:ascii="Times New Roman" w:eastAsia="Times New Roman" w:hAnsi="Times New Roman" w:cs="Times New Roman"/>
          <w:sz w:val="24"/>
          <w:szCs w:val="24"/>
        </w:rPr>
        <w:t>ire</w:t>
      </w:r>
      <w:r w:rsidR="00B75475">
        <w:rPr>
          <w:rFonts w:ascii="Times New Roman" w:eastAsia="Times New Roman" w:hAnsi="Times New Roman" w:cs="Times New Roman"/>
          <w:sz w:val="24"/>
          <w:szCs w:val="24"/>
        </w:rPr>
        <w:t xml:space="preserve"> in </w:t>
      </w:r>
      <w:r w:rsidR="00E51127">
        <w:rPr>
          <w:rFonts w:ascii="Times New Roman" w:eastAsia="Times New Roman" w:hAnsi="Times New Roman" w:cs="Times New Roman"/>
          <w:sz w:val="24"/>
          <w:szCs w:val="24"/>
        </w:rPr>
        <w:t>1°</w:t>
      </w:r>
      <w:r w:rsidR="00B75475">
        <w:rPr>
          <w:rFonts w:ascii="Times New Roman" w:eastAsia="Times New Roman" w:hAnsi="Times New Roman" w:cs="Times New Roman"/>
          <w:sz w:val="24"/>
          <w:szCs w:val="24"/>
        </w:rPr>
        <w:t xml:space="preserve"> linea</w:t>
      </w:r>
      <w:r w:rsidR="0097171F">
        <w:rPr>
          <w:rFonts w:ascii="Times New Roman" w:eastAsia="Times New Roman" w:hAnsi="Times New Roman" w:cs="Times New Roman"/>
          <w:sz w:val="24"/>
          <w:szCs w:val="24"/>
        </w:rPr>
        <w:t>,</w:t>
      </w:r>
      <w:r w:rsidR="00FC18CE">
        <w:rPr>
          <w:rFonts w:ascii="Times New Roman" w:eastAsia="Times New Roman" w:hAnsi="Times New Roman" w:cs="Times New Roman"/>
          <w:sz w:val="24"/>
          <w:szCs w:val="24"/>
        </w:rPr>
        <w:t xml:space="preserve"> una </w:t>
      </w:r>
      <w:r w:rsidRPr="00955A9B">
        <w:rPr>
          <w:rFonts w:ascii="Times New Roman" w:eastAsia="Times New Roman" w:hAnsi="Times New Roman" w:cs="Times New Roman"/>
          <w:sz w:val="24"/>
          <w:szCs w:val="24"/>
        </w:rPr>
        <w:t xml:space="preserve">combinazione di chemio-immunoterapia </w:t>
      </w:r>
      <w:r w:rsidR="00FC18CE">
        <w:rPr>
          <w:rFonts w:ascii="Times New Roman" w:eastAsia="Times New Roman" w:hAnsi="Times New Roman" w:cs="Times New Roman"/>
          <w:sz w:val="24"/>
          <w:szCs w:val="24"/>
        </w:rPr>
        <w:t xml:space="preserve">nei pazienti con PD-L1 CPS </w:t>
      </w:r>
      <w:r w:rsidR="00DB0E72" w:rsidRPr="00082046">
        <w:rPr>
          <w:rFonts w:ascii="Times New Roman" w:eastAsia="Times New Roman" w:hAnsi="Times New Roman" w:cs="Times New Roman"/>
          <w:sz w:val="24"/>
          <w:szCs w:val="24"/>
        </w:rPr>
        <w:t xml:space="preserve">con PD-L1 CPS </w:t>
      </w:r>
      <w:r w:rsidR="00DB0E72" w:rsidRPr="00082046">
        <w:rPr>
          <w:rFonts w:ascii="Times New Roman" w:eastAsia="Times New Roman" w:hAnsi="Times New Roman" w:cs="Times New Roman"/>
          <w:sz w:val="24"/>
          <w:szCs w:val="24"/>
          <w:u w:val="single"/>
        </w:rPr>
        <w:t>&gt;</w:t>
      </w:r>
      <w:r w:rsidR="00DB0E72" w:rsidRPr="00082046">
        <w:rPr>
          <w:rFonts w:ascii="Times New Roman" w:eastAsia="Times New Roman" w:hAnsi="Times New Roman" w:cs="Times New Roman"/>
          <w:sz w:val="24"/>
          <w:szCs w:val="24"/>
        </w:rPr>
        <w:t>1 (</w:t>
      </w:r>
      <w:r w:rsidR="00DB0E72" w:rsidRPr="00082046">
        <w:rPr>
          <w:rFonts w:ascii="Times New Roman" w:eastAsia="Times New Roman" w:hAnsi="Times New Roman" w:cs="Times New Roman"/>
          <w:i/>
          <w:iCs/>
          <w:sz w:val="24"/>
          <w:szCs w:val="24"/>
        </w:rPr>
        <w:t>FOLFOX/CAPOX + Nivolumab, sulla base dei dati dello studio clinico di fase III CheckMate-649 se PD-L1 CPS &gt;5 oppure Cisplatino</w:t>
      </w:r>
      <w:r w:rsidR="00DB0E72">
        <w:rPr>
          <w:rFonts w:ascii="Times New Roman" w:eastAsia="Times New Roman" w:hAnsi="Times New Roman" w:cs="Times New Roman"/>
          <w:i/>
          <w:iCs/>
          <w:sz w:val="24"/>
          <w:szCs w:val="24"/>
        </w:rPr>
        <w:t>+</w:t>
      </w:r>
      <w:r w:rsidR="00DB0E72" w:rsidRPr="00082046">
        <w:rPr>
          <w:rFonts w:ascii="Times New Roman" w:eastAsia="Times New Roman" w:hAnsi="Times New Roman" w:cs="Times New Roman"/>
          <w:i/>
          <w:iCs/>
          <w:sz w:val="24"/>
          <w:szCs w:val="24"/>
        </w:rPr>
        <w:t>5-Fluorouracile/CAPOX sulla base dei dati dello studio clinico di fase III Keynote-859 se PD-L1 CPS &gt;1</w:t>
      </w:r>
      <w:r w:rsidR="00DB0E72" w:rsidRPr="00082046">
        <w:rPr>
          <w:rFonts w:ascii="Times New Roman" w:eastAsia="Times New Roman" w:hAnsi="Times New Roman" w:cs="Times New Roman"/>
          <w:sz w:val="24"/>
          <w:szCs w:val="24"/>
        </w:rPr>
        <w:t>).</w:t>
      </w:r>
      <w:r w:rsidR="00DB0E72" w:rsidRPr="00955A9B">
        <w:rPr>
          <w:rFonts w:ascii="Times New Roman" w:eastAsia="Times New Roman" w:hAnsi="Times New Roman" w:cs="Times New Roman"/>
          <w:sz w:val="24"/>
          <w:szCs w:val="24"/>
        </w:rPr>
        <w:t xml:space="preserve"> </w:t>
      </w:r>
      <w:r w:rsidR="00953E6A" w:rsidRPr="00955A9B">
        <w:rPr>
          <w:rFonts w:ascii="Times New Roman" w:eastAsia="Times New Roman" w:hAnsi="Times New Roman" w:cs="Times New Roman"/>
          <w:sz w:val="24"/>
          <w:szCs w:val="24"/>
        </w:rPr>
        <w:t>U</w:t>
      </w:r>
      <w:r w:rsidR="00C163BE">
        <w:rPr>
          <w:rFonts w:ascii="Times New Roman" w:eastAsia="Times New Roman" w:hAnsi="Times New Roman" w:cs="Times New Roman"/>
          <w:sz w:val="24"/>
          <w:szCs w:val="24"/>
        </w:rPr>
        <w:t>n</w:t>
      </w:r>
      <w:r w:rsidR="00953E6A" w:rsidRPr="00955A9B">
        <w:rPr>
          <w:rFonts w:ascii="Times New Roman" w:eastAsia="Times New Roman" w:hAnsi="Times New Roman" w:cs="Times New Roman"/>
          <w:sz w:val="24"/>
          <w:szCs w:val="24"/>
        </w:rPr>
        <w:t xml:space="preserve"> </w:t>
      </w:r>
      <w:r w:rsidR="00C163BE">
        <w:rPr>
          <w:rFonts w:ascii="Times New Roman" w:eastAsia="Times New Roman" w:hAnsi="Times New Roman" w:cs="Times New Roman"/>
          <w:sz w:val="24"/>
          <w:szCs w:val="24"/>
        </w:rPr>
        <w:t xml:space="preserve">ulteriore </w:t>
      </w:r>
      <w:r w:rsidR="00953E6A" w:rsidRPr="00955A9B">
        <w:rPr>
          <w:rFonts w:ascii="Times New Roman" w:eastAsia="Times New Roman" w:hAnsi="Times New Roman" w:cs="Times New Roman"/>
          <w:sz w:val="24"/>
          <w:szCs w:val="24"/>
        </w:rPr>
        <w:t>marcator</w:t>
      </w:r>
      <w:r w:rsidR="00C163BE">
        <w:rPr>
          <w:rFonts w:ascii="Times New Roman" w:eastAsia="Times New Roman" w:hAnsi="Times New Roman" w:cs="Times New Roman"/>
          <w:sz w:val="24"/>
          <w:szCs w:val="24"/>
        </w:rPr>
        <w:t>e</w:t>
      </w:r>
      <w:r w:rsidRPr="00955A9B">
        <w:rPr>
          <w:rFonts w:ascii="Times New Roman" w:eastAsia="Times New Roman" w:hAnsi="Times New Roman" w:cs="Times New Roman"/>
          <w:sz w:val="24"/>
          <w:szCs w:val="24"/>
        </w:rPr>
        <w:t xml:space="preserve"> predittiv</w:t>
      </w:r>
      <w:r w:rsidR="00C163BE">
        <w:rPr>
          <w:rFonts w:ascii="Times New Roman" w:eastAsia="Times New Roman" w:hAnsi="Times New Roman" w:cs="Times New Roman"/>
          <w:sz w:val="24"/>
          <w:szCs w:val="24"/>
        </w:rPr>
        <w:t>o</w:t>
      </w:r>
      <w:r w:rsidR="00953E6A" w:rsidRPr="00955A9B">
        <w:rPr>
          <w:rFonts w:ascii="Times New Roman" w:eastAsia="Times New Roman" w:hAnsi="Times New Roman" w:cs="Times New Roman"/>
          <w:sz w:val="24"/>
          <w:szCs w:val="24"/>
        </w:rPr>
        <w:t xml:space="preserve"> molecolar</w:t>
      </w:r>
      <w:r w:rsidR="00C163BE">
        <w:rPr>
          <w:rFonts w:ascii="Times New Roman" w:eastAsia="Times New Roman" w:hAnsi="Times New Roman" w:cs="Times New Roman"/>
          <w:sz w:val="24"/>
          <w:szCs w:val="24"/>
        </w:rPr>
        <w:t>e</w:t>
      </w:r>
      <w:r w:rsidR="00953E6A" w:rsidRPr="00955A9B">
        <w:rPr>
          <w:rFonts w:ascii="Times New Roman" w:eastAsia="Times New Roman" w:hAnsi="Times New Roman" w:cs="Times New Roman"/>
          <w:sz w:val="24"/>
          <w:szCs w:val="24"/>
        </w:rPr>
        <w:t xml:space="preserve">, </w:t>
      </w:r>
      <w:r w:rsidR="00C163BE">
        <w:rPr>
          <w:rFonts w:ascii="Times New Roman" w:eastAsia="Times New Roman" w:hAnsi="Times New Roman" w:cs="Times New Roman"/>
          <w:sz w:val="24"/>
          <w:szCs w:val="24"/>
        </w:rPr>
        <w:t>indispensabile oggi</w:t>
      </w:r>
      <w:r w:rsidR="00953E6A" w:rsidRPr="00955A9B">
        <w:rPr>
          <w:rFonts w:ascii="Times New Roman" w:eastAsia="Times New Roman" w:hAnsi="Times New Roman" w:cs="Times New Roman"/>
          <w:sz w:val="24"/>
          <w:szCs w:val="24"/>
        </w:rPr>
        <w:t xml:space="preserve"> nella malattia in fase avanzata, </w:t>
      </w:r>
      <w:r w:rsidR="00C163BE">
        <w:rPr>
          <w:rFonts w:ascii="Times New Roman" w:eastAsia="Times New Roman" w:hAnsi="Times New Roman" w:cs="Times New Roman"/>
          <w:sz w:val="24"/>
          <w:szCs w:val="24"/>
        </w:rPr>
        <w:t>è</w:t>
      </w:r>
      <w:r w:rsidR="00953E6A" w:rsidRPr="00955A9B">
        <w:rPr>
          <w:rFonts w:ascii="Times New Roman" w:eastAsia="Times New Roman" w:hAnsi="Times New Roman" w:cs="Times New Roman"/>
          <w:sz w:val="24"/>
          <w:szCs w:val="24"/>
        </w:rPr>
        <w:t xml:space="preserve"> </w:t>
      </w:r>
      <w:r w:rsidR="00E51127">
        <w:rPr>
          <w:rFonts w:ascii="Times New Roman" w:eastAsia="Times New Roman" w:hAnsi="Times New Roman" w:cs="Times New Roman"/>
          <w:sz w:val="24"/>
          <w:szCs w:val="24"/>
        </w:rPr>
        <w:t>rappresentat</w:t>
      </w:r>
      <w:r w:rsidR="00C163BE">
        <w:rPr>
          <w:rFonts w:ascii="Times New Roman" w:eastAsia="Times New Roman" w:hAnsi="Times New Roman" w:cs="Times New Roman"/>
          <w:sz w:val="24"/>
          <w:szCs w:val="24"/>
        </w:rPr>
        <w:t>o</w:t>
      </w:r>
      <w:r w:rsidR="00E51127">
        <w:rPr>
          <w:rFonts w:ascii="Times New Roman" w:eastAsia="Times New Roman" w:hAnsi="Times New Roman" w:cs="Times New Roman"/>
          <w:sz w:val="24"/>
          <w:szCs w:val="24"/>
        </w:rPr>
        <w:t xml:space="preserve"> dall</w:t>
      </w:r>
      <w:r w:rsidR="00953E6A" w:rsidRPr="00955A9B">
        <w:rPr>
          <w:rFonts w:ascii="Times New Roman" w:eastAsia="Times New Roman" w:hAnsi="Times New Roman" w:cs="Times New Roman"/>
          <w:sz w:val="24"/>
          <w:szCs w:val="24"/>
        </w:rPr>
        <w:t>’MSI status</w:t>
      </w:r>
      <w:r w:rsidR="00E51127">
        <w:rPr>
          <w:rFonts w:ascii="Times New Roman" w:eastAsia="Times New Roman" w:hAnsi="Times New Roman" w:cs="Times New Roman"/>
          <w:sz w:val="24"/>
          <w:szCs w:val="24"/>
        </w:rPr>
        <w:t xml:space="preserve">. Difatti, </w:t>
      </w:r>
      <w:r w:rsidR="00953E6A" w:rsidRPr="00955A9B">
        <w:rPr>
          <w:rFonts w:ascii="Times New Roman" w:eastAsia="Times New Roman" w:hAnsi="Times New Roman" w:cs="Times New Roman"/>
          <w:sz w:val="24"/>
          <w:szCs w:val="24"/>
        </w:rPr>
        <w:t xml:space="preserve">tumori </w:t>
      </w:r>
      <w:r w:rsidR="00E51127">
        <w:rPr>
          <w:rFonts w:ascii="Times New Roman" w:eastAsia="Times New Roman" w:hAnsi="Times New Roman" w:cs="Times New Roman"/>
          <w:sz w:val="24"/>
          <w:szCs w:val="24"/>
        </w:rPr>
        <w:t>con elevata instabilità microsatellitare</w:t>
      </w:r>
      <w:r w:rsidR="00953E6A" w:rsidRPr="00955A9B">
        <w:rPr>
          <w:rFonts w:ascii="Times New Roman" w:eastAsia="Times New Roman" w:hAnsi="Times New Roman" w:cs="Times New Roman"/>
          <w:sz w:val="24"/>
          <w:szCs w:val="24"/>
        </w:rPr>
        <w:t xml:space="preserve"> </w:t>
      </w:r>
      <w:r w:rsidR="00C163BE">
        <w:rPr>
          <w:rFonts w:ascii="Times New Roman" w:eastAsia="Times New Roman" w:hAnsi="Times New Roman" w:cs="Times New Roman"/>
          <w:sz w:val="24"/>
          <w:szCs w:val="24"/>
        </w:rPr>
        <w:t xml:space="preserve">(MSI-H) </w:t>
      </w:r>
      <w:r w:rsidR="00953E6A" w:rsidRPr="00955A9B">
        <w:rPr>
          <w:rFonts w:ascii="Times New Roman" w:eastAsia="Times New Roman" w:hAnsi="Times New Roman" w:cs="Times New Roman"/>
          <w:sz w:val="24"/>
          <w:szCs w:val="24"/>
        </w:rPr>
        <w:t xml:space="preserve">possono giovarsi, </w:t>
      </w:r>
      <w:r w:rsidR="00E51127">
        <w:rPr>
          <w:rFonts w:ascii="Times New Roman" w:eastAsia="Times New Roman" w:hAnsi="Times New Roman" w:cs="Times New Roman"/>
          <w:sz w:val="24"/>
          <w:szCs w:val="24"/>
        </w:rPr>
        <w:t>dalla seconda linea di trattamento</w:t>
      </w:r>
      <w:r w:rsidR="00953E6A" w:rsidRPr="00955A9B">
        <w:rPr>
          <w:rFonts w:ascii="Times New Roman" w:eastAsia="Times New Roman" w:hAnsi="Times New Roman" w:cs="Times New Roman"/>
          <w:sz w:val="24"/>
          <w:szCs w:val="24"/>
        </w:rPr>
        <w:t xml:space="preserve">, di </w:t>
      </w:r>
      <w:r w:rsidR="00E51127">
        <w:rPr>
          <w:rFonts w:ascii="Times New Roman" w:eastAsia="Times New Roman" w:hAnsi="Times New Roman" w:cs="Times New Roman"/>
          <w:sz w:val="24"/>
          <w:szCs w:val="24"/>
        </w:rPr>
        <w:t xml:space="preserve">un </w:t>
      </w:r>
      <w:r w:rsidR="00953E6A" w:rsidRPr="00955A9B">
        <w:rPr>
          <w:rFonts w:ascii="Times New Roman" w:eastAsia="Times New Roman" w:hAnsi="Times New Roman" w:cs="Times New Roman"/>
          <w:sz w:val="24"/>
          <w:szCs w:val="24"/>
        </w:rPr>
        <w:t>approccio immunoterapico</w:t>
      </w:r>
      <w:r w:rsidR="00E51127">
        <w:rPr>
          <w:rFonts w:ascii="Times New Roman" w:eastAsia="Times New Roman" w:hAnsi="Times New Roman" w:cs="Times New Roman"/>
          <w:sz w:val="24"/>
          <w:szCs w:val="24"/>
        </w:rPr>
        <w:t xml:space="preserve"> esclusivo con Pembrolizumab</w:t>
      </w:r>
      <w:r w:rsidR="00C163BE">
        <w:rPr>
          <w:rFonts w:ascii="Times New Roman" w:eastAsia="Times New Roman" w:hAnsi="Times New Roman" w:cs="Times New Roman"/>
          <w:sz w:val="24"/>
          <w:szCs w:val="24"/>
        </w:rPr>
        <w:t xml:space="preserve"> (sulla base dei dati dello studio clinico </w:t>
      </w:r>
      <w:r w:rsidR="00C163BE" w:rsidRPr="00C163BE">
        <w:rPr>
          <w:rFonts w:ascii="Times New Roman" w:eastAsia="Times New Roman" w:hAnsi="Times New Roman" w:cs="Times New Roman"/>
          <w:i/>
          <w:iCs/>
          <w:sz w:val="24"/>
          <w:szCs w:val="24"/>
        </w:rPr>
        <w:t>Keynote-158</w:t>
      </w:r>
      <w:r w:rsidR="00C163BE">
        <w:rPr>
          <w:rFonts w:ascii="Times New Roman" w:eastAsia="Times New Roman" w:hAnsi="Times New Roman" w:cs="Times New Roman"/>
          <w:sz w:val="24"/>
          <w:szCs w:val="24"/>
        </w:rPr>
        <w:t>),</w:t>
      </w:r>
      <w:r w:rsidR="00E51127">
        <w:rPr>
          <w:rFonts w:ascii="Times New Roman" w:eastAsia="Times New Roman" w:hAnsi="Times New Roman" w:cs="Times New Roman"/>
          <w:sz w:val="24"/>
          <w:szCs w:val="24"/>
        </w:rPr>
        <w:t xml:space="preserve"> qualora l’immunoterapia non sia stata già ricevuta dai suddetti pazienti in 1° linea in combinazione alla chemioterapia</w:t>
      </w:r>
      <w:r w:rsidR="00953E6A" w:rsidRPr="00955A9B">
        <w:rPr>
          <w:rFonts w:ascii="Times New Roman" w:eastAsia="Times New Roman" w:hAnsi="Times New Roman" w:cs="Times New Roman"/>
          <w:sz w:val="24"/>
          <w:szCs w:val="24"/>
        </w:rPr>
        <w:t xml:space="preserve">). </w:t>
      </w:r>
    </w:p>
    <w:p w14:paraId="2CCDE126" w14:textId="1393D08C" w:rsidR="00923DF2" w:rsidRDefault="00923DF2" w:rsidP="00923DF2">
      <w:pPr>
        <w:spacing w:line="360" w:lineRule="auto"/>
        <w:jc w:val="both"/>
        <w:rPr>
          <w:rFonts w:ascii="Times New Roman" w:eastAsia="Times New Roman" w:hAnsi="Times New Roman" w:cs="Times New Roman"/>
          <w:sz w:val="24"/>
          <w:szCs w:val="24"/>
        </w:rPr>
      </w:pPr>
      <w:r w:rsidRPr="00923DF2">
        <w:rPr>
          <w:rFonts w:ascii="Times New Roman" w:eastAsia="Times New Roman" w:hAnsi="Times New Roman" w:cs="Times New Roman"/>
          <w:sz w:val="24"/>
          <w:szCs w:val="24"/>
        </w:rPr>
        <w:t>Un ulteriore target terapeutico di crescente rilevanza clinica nella malattia avanzata è rappresentato dall’espressione della proteina Claudina 18.2 (CLDN18.2),</w:t>
      </w:r>
      <w:r>
        <w:rPr>
          <w:rFonts w:ascii="Times New Roman" w:eastAsia="Times New Roman" w:hAnsi="Times New Roman" w:cs="Times New Roman"/>
          <w:sz w:val="24"/>
          <w:szCs w:val="24"/>
        </w:rPr>
        <w:t xml:space="preserve"> l</w:t>
      </w:r>
      <w:r w:rsidRPr="00923DF2">
        <w:rPr>
          <w:rFonts w:ascii="Times New Roman" w:eastAsia="Times New Roman" w:hAnsi="Times New Roman" w:cs="Times New Roman"/>
          <w:sz w:val="24"/>
          <w:szCs w:val="24"/>
        </w:rPr>
        <w:t>a sua valutazione mediante tecnica immunoistochimica è oggi raccomandata nei pazienti con adenocarcinoma gastrico o della giunzione gastroesofagea metastatico.</w:t>
      </w:r>
      <w:r>
        <w:rPr>
          <w:rFonts w:ascii="Times New Roman" w:eastAsia="Times New Roman" w:hAnsi="Times New Roman" w:cs="Times New Roman"/>
          <w:sz w:val="24"/>
          <w:szCs w:val="24"/>
        </w:rPr>
        <w:t xml:space="preserve"> </w:t>
      </w:r>
      <w:r w:rsidRPr="00923DF2">
        <w:rPr>
          <w:rFonts w:ascii="Times New Roman" w:eastAsia="Times New Roman" w:hAnsi="Times New Roman" w:cs="Times New Roman"/>
          <w:sz w:val="24"/>
          <w:szCs w:val="24"/>
        </w:rPr>
        <w:t>In presenza di una forte espressione di Claudina 18.2 (≥75% delle cellule tumorali con intensità 2+</w:t>
      </w:r>
      <w:r>
        <w:rPr>
          <w:rFonts w:ascii="Times New Roman" w:eastAsia="Times New Roman" w:hAnsi="Times New Roman" w:cs="Times New Roman"/>
          <w:sz w:val="24"/>
          <w:szCs w:val="24"/>
        </w:rPr>
        <w:t>/3+</w:t>
      </w:r>
      <w:r w:rsidRPr="00923DF2">
        <w:rPr>
          <w:rFonts w:ascii="Times New Roman" w:eastAsia="Times New Roman" w:hAnsi="Times New Roman" w:cs="Times New Roman"/>
          <w:sz w:val="24"/>
          <w:szCs w:val="24"/>
        </w:rPr>
        <w:t>), è possibile considerare</w:t>
      </w:r>
      <w:r>
        <w:rPr>
          <w:rFonts w:ascii="Times New Roman" w:eastAsia="Times New Roman" w:hAnsi="Times New Roman" w:cs="Times New Roman"/>
          <w:sz w:val="24"/>
          <w:szCs w:val="24"/>
        </w:rPr>
        <w:t xml:space="preserve"> in 1°linea, nei pazienti HER2 negativi,</w:t>
      </w:r>
      <w:r w:rsidRPr="00923DF2">
        <w:rPr>
          <w:rFonts w:ascii="Times New Roman" w:eastAsia="Times New Roman" w:hAnsi="Times New Roman" w:cs="Times New Roman"/>
          <w:sz w:val="24"/>
          <w:szCs w:val="24"/>
        </w:rPr>
        <w:t xml:space="preserve"> l’impiego dello Zolbetuximab, anticorpo monoclonale diretto contro CLDN18.2, in combinazione con fluoropirimidine e sali di platino. Tale indicazione si basa sui risultati degli studi clinici SPOTLIGHT e GLOW.</w:t>
      </w:r>
      <w:r>
        <w:rPr>
          <w:rFonts w:ascii="Times New Roman" w:eastAsia="Times New Roman" w:hAnsi="Times New Roman" w:cs="Times New Roman"/>
          <w:sz w:val="24"/>
          <w:szCs w:val="24"/>
        </w:rPr>
        <w:t xml:space="preserve"> </w:t>
      </w:r>
      <w:r w:rsidRPr="00923DF2">
        <w:rPr>
          <w:rFonts w:ascii="Times New Roman" w:eastAsia="Times New Roman" w:hAnsi="Times New Roman" w:cs="Times New Roman"/>
          <w:sz w:val="24"/>
          <w:szCs w:val="24"/>
        </w:rPr>
        <w:t>Ad oggi, il farmaco è disponibile attraverso la rete dei Centri a livello nazionale autorizzati per l'accesso in uso compassionevole (CNN), in attesa della rimborsabilità da parte del SSN.</w:t>
      </w:r>
    </w:p>
    <w:p w14:paraId="266FFBD6" w14:textId="5F4F0ACD" w:rsidR="00953E6A" w:rsidRDefault="00E51127" w:rsidP="00955A9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953E6A" w:rsidRPr="00955A9B">
        <w:rPr>
          <w:rFonts w:ascii="Times New Roman" w:eastAsia="Times New Roman" w:hAnsi="Times New Roman" w:cs="Times New Roman"/>
          <w:sz w:val="24"/>
          <w:szCs w:val="24"/>
        </w:rPr>
        <w:t>l risultato</w:t>
      </w:r>
      <w:r w:rsidR="007C2DFD"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 tali analisi (HER2, MSI status, PDL1 CPS</w:t>
      </w:r>
      <w:r w:rsidR="00923DF2">
        <w:rPr>
          <w:rFonts w:ascii="Times New Roman" w:eastAsia="Times New Roman" w:hAnsi="Times New Roman" w:cs="Times New Roman"/>
          <w:sz w:val="24"/>
          <w:szCs w:val="24"/>
        </w:rPr>
        <w:t>, Claudina 18.2</w:t>
      </w:r>
      <w:r>
        <w:rPr>
          <w:rFonts w:ascii="Times New Roman" w:eastAsia="Times New Roman" w:hAnsi="Times New Roman" w:cs="Times New Roman"/>
          <w:sz w:val="24"/>
          <w:szCs w:val="24"/>
        </w:rPr>
        <w:t xml:space="preserve">) deve </w:t>
      </w:r>
      <w:r w:rsidR="00C163BE">
        <w:rPr>
          <w:rFonts w:ascii="Times New Roman" w:eastAsia="Times New Roman" w:hAnsi="Times New Roman" w:cs="Times New Roman"/>
          <w:sz w:val="24"/>
          <w:szCs w:val="24"/>
        </w:rPr>
        <w:t xml:space="preserve">pertanto </w:t>
      </w:r>
      <w:r>
        <w:rPr>
          <w:rFonts w:ascii="Times New Roman" w:eastAsia="Times New Roman" w:hAnsi="Times New Roman" w:cs="Times New Roman"/>
          <w:sz w:val="24"/>
          <w:szCs w:val="24"/>
        </w:rPr>
        <w:t>essere reso disponibile</w:t>
      </w:r>
      <w:r w:rsidR="007C2DFD" w:rsidRPr="00955A9B">
        <w:rPr>
          <w:rFonts w:ascii="Times New Roman" w:eastAsia="Times New Roman" w:hAnsi="Times New Roman" w:cs="Times New Roman"/>
          <w:sz w:val="24"/>
          <w:szCs w:val="24"/>
        </w:rPr>
        <w:t xml:space="preserve"> </w:t>
      </w:r>
      <w:r w:rsidR="00CC14B6" w:rsidRPr="00955A9B">
        <w:rPr>
          <w:rFonts w:ascii="Times New Roman" w:eastAsia="Times New Roman" w:hAnsi="Times New Roman" w:cs="Times New Roman"/>
          <w:sz w:val="24"/>
          <w:szCs w:val="24"/>
        </w:rPr>
        <w:t>prima</w:t>
      </w:r>
      <w:r w:rsidR="00953E6A" w:rsidRPr="00955A9B">
        <w:rPr>
          <w:rFonts w:ascii="Times New Roman" w:eastAsia="Times New Roman" w:hAnsi="Times New Roman" w:cs="Times New Roman"/>
          <w:sz w:val="24"/>
          <w:szCs w:val="24"/>
        </w:rPr>
        <w:t xml:space="preserve"> dell’inizio del trattamento di </w:t>
      </w:r>
      <w:r w:rsidR="00C163BE">
        <w:rPr>
          <w:rFonts w:ascii="Times New Roman" w:eastAsia="Times New Roman" w:hAnsi="Times New Roman" w:cs="Times New Roman"/>
          <w:sz w:val="24"/>
          <w:szCs w:val="24"/>
        </w:rPr>
        <w:t>1°</w:t>
      </w:r>
      <w:r w:rsidR="00953E6A" w:rsidRPr="00955A9B">
        <w:rPr>
          <w:rFonts w:ascii="Times New Roman" w:eastAsia="Times New Roman" w:hAnsi="Times New Roman" w:cs="Times New Roman"/>
          <w:sz w:val="24"/>
          <w:szCs w:val="24"/>
        </w:rPr>
        <w:t xml:space="preserve"> linea</w:t>
      </w:r>
      <w:r>
        <w:rPr>
          <w:rFonts w:ascii="Times New Roman" w:eastAsia="Times New Roman" w:hAnsi="Times New Roman" w:cs="Times New Roman"/>
          <w:sz w:val="24"/>
          <w:szCs w:val="24"/>
        </w:rPr>
        <w:t xml:space="preserve"> al fine di garantire la migliore scelta terapeutica per il singolo paziente</w:t>
      </w:r>
      <w:r w:rsidR="00953E6A" w:rsidRPr="00955A9B">
        <w:rPr>
          <w:rFonts w:ascii="Times New Roman" w:eastAsia="Times New Roman" w:hAnsi="Times New Roman" w:cs="Times New Roman"/>
          <w:sz w:val="24"/>
          <w:szCs w:val="24"/>
        </w:rPr>
        <w:t xml:space="preserve">. Il GOM valuterà il paziente nella sua interezza, considerando sia trattamenti standard sia l’inserimento in protocolli clinici per farmaci innovativi, sempre dopo aver discusso con il paziente e tenendo conto delle sue volontà e possibilità. Inoltre, Il GOM dovrà valutare la sintomatologia del paziente e supportarlo nella palliazione dei sintomi mediante un rapporto nutrizionistico continuativo, un </w:t>
      </w:r>
      <w:r w:rsidR="003D1203" w:rsidRPr="00955A9B">
        <w:rPr>
          <w:rFonts w:ascii="Times New Roman" w:eastAsia="Times New Roman" w:hAnsi="Times New Roman" w:cs="Times New Roman"/>
          <w:sz w:val="24"/>
          <w:szCs w:val="24"/>
        </w:rPr>
        <w:t>counseling</w:t>
      </w:r>
      <w:r w:rsidR="00953E6A" w:rsidRPr="00955A9B">
        <w:rPr>
          <w:rFonts w:ascii="Times New Roman" w:eastAsia="Times New Roman" w:hAnsi="Times New Roman" w:cs="Times New Roman"/>
          <w:sz w:val="24"/>
          <w:szCs w:val="24"/>
        </w:rPr>
        <w:t xml:space="preserve"> psiconcologico, un </w:t>
      </w:r>
      <w:r w:rsidR="003D1203" w:rsidRPr="00955A9B">
        <w:rPr>
          <w:rFonts w:ascii="Times New Roman" w:eastAsia="Times New Roman" w:hAnsi="Times New Roman" w:cs="Times New Roman"/>
          <w:sz w:val="24"/>
          <w:szCs w:val="24"/>
        </w:rPr>
        <w:t>counseling</w:t>
      </w:r>
      <w:r w:rsidR="00953E6A" w:rsidRPr="00955A9B">
        <w:rPr>
          <w:rFonts w:ascii="Times New Roman" w:eastAsia="Times New Roman" w:hAnsi="Times New Roman" w:cs="Times New Roman"/>
          <w:sz w:val="24"/>
          <w:szCs w:val="24"/>
        </w:rPr>
        <w:t xml:space="preserve"> genetico in caso si sospetti una patologia ereditaria, un supporto antalgico e l’esecuzione di interventi chirurgici o endoscopici palliativi in caso di sanguinamenti o stenosi serrate. Tale scopo sarà raggiunto </w:t>
      </w:r>
      <w:bookmarkStart w:id="3" w:name="page10"/>
      <w:bookmarkEnd w:id="3"/>
      <w:r w:rsidR="00512114" w:rsidRPr="00955A9B">
        <w:rPr>
          <w:rFonts w:ascii="Times New Roman" w:eastAsia="Times New Roman" w:hAnsi="Times New Roman" w:cs="Times New Roman"/>
          <w:sz w:val="24"/>
          <w:szCs w:val="24"/>
        </w:rPr>
        <w:t>mediante l’attivazione da parte del Case Manager di GOM di consulenze presso gli ambulatori dedicati presso l’UOC di Nutrizione clinica, servizio di psiconcologia, UOC Genetica medica, UOC anestesiologia e terapia del dolore afferenti al GOM stesso.</w:t>
      </w:r>
    </w:p>
    <w:p w14:paraId="311CFCC3" w14:textId="5301B4BC" w:rsidR="00512114" w:rsidRPr="00955A9B" w:rsidRDefault="00512114" w:rsidP="00A7435B">
      <w:pPr>
        <w:spacing w:line="360" w:lineRule="auto"/>
        <w:ind w:right="40"/>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Tabella 7. Percorso terapeutico-assistenziale per pazienti con tumore dello stomaco metastatico</w:t>
      </w:r>
    </w:p>
    <w:tbl>
      <w:tblPr>
        <w:tblStyle w:val="Grigliatabella"/>
        <w:tblW w:w="0" w:type="auto"/>
        <w:tblLook w:val="04A0" w:firstRow="1" w:lastRow="0" w:firstColumn="1" w:lastColumn="0" w:noHBand="0" w:noVBand="1"/>
      </w:tblPr>
      <w:tblGrid>
        <w:gridCol w:w="1980"/>
        <w:gridCol w:w="7648"/>
      </w:tblGrid>
      <w:tr w:rsidR="00CC20A3" w14:paraId="2F149C07" w14:textId="77777777" w:rsidTr="002F08FA">
        <w:tc>
          <w:tcPr>
            <w:tcW w:w="1980" w:type="dxa"/>
          </w:tcPr>
          <w:p w14:paraId="7CEE0EE0" w14:textId="743C3921" w:rsidR="00CC20A3" w:rsidRPr="002F08FA" w:rsidRDefault="00CC20A3"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Stadio</w:t>
            </w:r>
          </w:p>
        </w:tc>
        <w:tc>
          <w:tcPr>
            <w:tcW w:w="7648" w:type="dxa"/>
          </w:tcPr>
          <w:p w14:paraId="53BDAFF8" w14:textId="2B136780" w:rsidR="00CC20A3" w:rsidRPr="002F08FA" w:rsidRDefault="00CC20A3"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Trattamento</w:t>
            </w:r>
          </w:p>
        </w:tc>
      </w:tr>
      <w:tr w:rsidR="00CC20A3" w14:paraId="52C1340E" w14:textId="77777777" w:rsidTr="002F08FA">
        <w:trPr>
          <w:trHeight w:val="3939"/>
        </w:trPr>
        <w:tc>
          <w:tcPr>
            <w:tcW w:w="1980" w:type="dxa"/>
          </w:tcPr>
          <w:p w14:paraId="7F103C8D" w14:textId="77777777" w:rsidR="00CC20A3" w:rsidRPr="002F08FA" w:rsidRDefault="00CC20A3"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Localmente</w:t>
            </w:r>
          </w:p>
          <w:p w14:paraId="2CEFEBC7" w14:textId="77777777" w:rsidR="00CC20A3" w:rsidRPr="002F08FA" w:rsidRDefault="00CC20A3"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avanzato,</w:t>
            </w:r>
          </w:p>
          <w:p w14:paraId="0B350331" w14:textId="77777777" w:rsidR="00CC20A3" w:rsidRPr="002F08FA" w:rsidRDefault="00CC20A3"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potenzialmente</w:t>
            </w:r>
          </w:p>
          <w:p w14:paraId="44B297B4" w14:textId="0BC836BC" w:rsidR="00CC20A3" w:rsidRPr="002F08FA" w:rsidRDefault="00CC20A3"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resecabile</w:t>
            </w:r>
          </w:p>
        </w:tc>
        <w:tc>
          <w:tcPr>
            <w:tcW w:w="7648" w:type="dxa"/>
          </w:tcPr>
          <w:p w14:paraId="405A0F76" w14:textId="77777777" w:rsidR="00CC20A3" w:rsidRPr="002F08FA" w:rsidRDefault="00CC20A3" w:rsidP="002F08FA">
            <w:pPr>
              <w:pStyle w:val="Paragrafoelenco"/>
              <w:numPr>
                <w:ilvl w:val="0"/>
                <w:numId w:val="11"/>
              </w:numPr>
              <w:spacing w:line="276" w:lineRule="auto"/>
              <w:rPr>
                <w:rFonts w:ascii="Times New Roman" w:eastAsia="Times New Roman" w:hAnsi="Times New Roman" w:cs="Times New Roman"/>
                <w:b/>
              </w:rPr>
            </w:pPr>
            <w:r w:rsidRPr="002F08FA">
              <w:rPr>
                <w:rFonts w:ascii="Times New Roman" w:hAnsi="Times New Roman" w:cs="Times New Roman"/>
                <w:b/>
              </w:rPr>
              <w:t>Trattamento di conversione con polichemioterapia preoperatoria secondo le linee guida</w:t>
            </w:r>
          </w:p>
          <w:p w14:paraId="7700834F" w14:textId="5452D940" w:rsidR="00CC20A3" w:rsidRPr="002F08FA" w:rsidRDefault="00CC20A3" w:rsidP="002F08FA">
            <w:pPr>
              <w:pStyle w:val="Paragrafoelenco"/>
              <w:numPr>
                <w:ilvl w:val="0"/>
                <w:numId w:val="11"/>
              </w:numPr>
              <w:spacing w:line="276" w:lineRule="auto"/>
              <w:rPr>
                <w:rFonts w:ascii="Times New Roman" w:eastAsia="Times New Roman" w:hAnsi="Times New Roman" w:cs="Times New Roman"/>
                <w:b/>
              </w:rPr>
            </w:pPr>
            <w:r w:rsidRPr="002F08FA">
              <w:rPr>
                <w:rFonts w:ascii="Times New Roman" w:hAnsi="Times New Roman" w:cs="Times New Roman"/>
                <w:b/>
              </w:rPr>
              <w:t>Valutazione con ri-stadiazione dopo 4 cicli di trattamento, comprendente EGDS, TC total body con mdc e 18-FDG PET total body</w:t>
            </w:r>
          </w:p>
          <w:p w14:paraId="2966E44C" w14:textId="096546EB" w:rsidR="00CC20A3" w:rsidRPr="002F08FA" w:rsidRDefault="002F08FA" w:rsidP="002F08FA">
            <w:pPr>
              <w:pStyle w:val="Paragrafoelenco"/>
              <w:spacing w:line="276" w:lineRule="auto"/>
              <w:rPr>
                <w:rFonts w:ascii="Times New Roman" w:hAnsi="Times New Roman" w:cs="Times New Roman"/>
              </w:rPr>
            </w:pPr>
            <w:r w:rsidRPr="002F08FA">
              <w:rPr>
                <w:rFonts w:ascii="Times New Roman" w:eastAsia="Times New Roman" w:hAnsi="Times New Roman" w:cs="Times New Roman"/>
                <w:noProof/>
                <w:lang w:eastAsia="it-IT"/>
              </w:rPr>
              <mc:AlternateContent>
                <mc:Choice Requires="wps">
                  <w:drawing>
                    <wp:anchor distT="0" distB="0" distL="114300" distR="114300" simplePos="0" relativeHeight="251759616" behindDoc="0" locked="0" layoutInCell="1" allowOverlap="1" wp14:anchorId="704F2F85" wp14:editId="7ADBBC13">
                      <wp:simplePos x="0" y="0"/>
                      <wp:positionH relativeFrom="column">
                        <wp:posOffset>2369237</wp:posOffset>
                      </wp:positionH>
                      <wp:positionV relativeFrom="paragraph">
                        <wp:posOffset>118008</wp:posOffset>
                      </wp:positionV>
                      <wp:extent cx="475488" cy="248285"/>
                      <wp:effectExtent l="19050" t="19050" r="58420" b="56515"/>
                      <wp:wrapNone/>
                      <wp:docPr id="16"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488" cy="24828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DB2AC2" id="_x0000_t32" coordsize="21600,21600" o:spt="32" o:oned="t" path="m,l21600,21600e" filled="f">
                      <v:path arrowok="t" fillok="f" o:connecttype="none"/>
                      <o:lock v:ext="edit" shapetype="t"/>
                    </v:shapetype>
                    <v:shape id="Connettore 2 16" o:spid="_x0000_s1026" type="#_x0000_t32" style="position:absolute;margin-left:186.55pt;margin-top:9.3pt;width:37.45pt;height:1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" strokecolor="#44546a [3215]" strokeweight="2.25pt">
                      <v:stroke endarrow="block" joinstyle="miter"/>
                      <o:lock v:ext="edit" shapetype="f"/>
                    </v:shape>
                  </w:pict>
                </mc:Fallback>
              </mc:AlternateContent>
            </w:r>
            <w:r w:rsidRPr="002F08FA">
              <w:rPr>
                <w:rFonts w:ascii="Times New Roman" w:eastAsia="Times New Roman" w:hAnsi="Times New Roman" w:cs="Times New Roman"/>
                <w:noProof/>
                <w:lang w:eastAsia="it-IT"/>
              </w:rPr>
              <mc:AlternateContent>
                <mc:Choice Requires="wps">
                  <w:drawing>
                    <wp:anchor distT="0" distB="0" distL="114300" distR="114300" simplePos="0" relativeHeight="251757568" behindDoc="0" locked="0" layoutInCell="1" allowOverlap="1" wp14:anchorId="70E2BC67" wp14:editId="53053DDC">
                      <wp:simplePos x="0" y="0"/>
                      <wp:positionH relativeFrom="column">
                        <wp:posOffset>1908377</wp:posOffset>
                      </wp:positionH>
                      <wp:positionV relativeFrom="paragraph">
                        <wp:posOffset>118008</wp:posOffset>
                      </wp:positionV>
                      <wp:extent cx="459791" cy="248717"/>
                      <wp:effectExtent l="38100" t="19050" r="16510" b="56515"/>
                      <wp:wrapNone/>
                      <wp:docPr id="1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9791" cy="248717"/>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DE46C" id="Connettore 2 14" o:spid="_x0000_s1026" type="#_x0000_t32" style="position:absolute;margin-left:150.25pt;margin-top:9.3pt;width:36.2pt;height:19.6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" strokecolor="#44546a [3215]" strokeweight="2.25pt">
                      <v:stroke endarrow="block" joinstyle="miter"/>
                      <o:lock v:ext="edit" shapetype="f"/>
                    </v:shape>
                  </w:pict>
                </mc:Fallback>
              </mc:AlternateContent>
            </w:r>
          </w:p>
          <w:p w14:paraId="6509B541" w14:textId="77777777" w:rsidR="002F08FA" w:rsidRPr="002F08FA" w:rsidRDefault="002F08FA" w:rsidP="002F08FA">
            <w:pPr>
              <w:spacing w:line="276" w:lineRule="auto"/>
              <w:rPr>
                <w:rFonts w:ascii="Times New Roman" w:hAnsi="Times New Roman" w:cs="Times New Roman"/>
              </w:rPr>
            </w:pPr>
          </w:p>
          <w:p w14:paraId="428F1BDE" w14:textId="7A1E013D" w:rsidR="00923DF2" w:rsidRDefault="002F08FA" w:rsidP="002F08FA">
            <w:pPr>
              <w:spacing w:line="276" w:lineRule="auto"/>
              <w:rPr>
                <w:rFonts w:ascii="Times New Roman" w:hAnsi="Times New Roman" w:cs="Times New Roman"/>
              </w:rPr>
            </w:pPr>
            <w:r w:rsidRPr="002F08FA">
              <w:rPr>
                <w:rFonts w:ascii="Times New Roman" w:hAnsi="Times New Roman" w:cs="Times New Roman"/>
              </w:rPr>
              <w:t xml:space="preserve">        </w:t>
            </w:r>
            <w:r w:rsidR="00923DF2">
              <w:rPr>
                <w:rFonts w:ascii="Times New Roman" w:hAnsi="Times New Roman" w:cs="Times New Roman"/>
              </w:rPr>
              <w:t xml:space="preserve">                                    Operabile             Non operabile</w:t>
            </w:r>
          </w:p>
          <w:p w14:paraId="3AA4316F" w14:textId="4E96331D" w:rsidR="00923DF2" w:rsidRDefault="00923DF2" w:rsidP="002F08FA">
            <w:pPr>
              <w:spacing w:line="276" w:lineRule="auto"/>
              <w:rPr>
                <w:rFonts w:ascii="Times New Roman" w:hAnsi="Times New Roman" w:cs="Times New Roman"/>
              </w:rPr>
            </w:pPr>
            <w:r>
              <w:rPr>
                <w:rFonts w:ascii="Times New Roman" w:hAnsi="Times New Roman" w:cs="Times New Roman"/>
              </w:rPr>
              <w:t xml:space="preserve">                        Intervento Chirurgico              Prosegue trattamento chemioterapico</w:t>
            </w:r>
          </w:p>
          <w:p w14:paraId="3697C4F8" w14:textId="063585C9" w:rsidR="002F08FA" w:rsidRPr="002F08FA" w:rsidRDefault="002F08FA" w:rsidP="002F08FA">
            <w:pPr>
              <w:pStyle w:val="Paragrafoelenco"/>
              <w:numPr>
                <w:ilvl w:val="0"/>
                <w:numId w:val="11"/>
              </w:numPr>
              <w:spacing w:line="276" w:lineRule="auto"/>
              <w:rPr>
                <w:rFonts w:ascii="Times New Roman" w:hAnsi="Times New Roman" w:cs="Times New Roman"/>
                <w:b/>
              </w:rPr>
            </w:pPr>
            <w:r w:rsidRPr="002F08FA">
              <w:rPr>
                <w:rFonts w:ascii="Times New Roman" w:hAnsi="Times New Roman" w:cs="Times New Roman"/>
                <w:b/>
              </w:rPr>
              <w:t>Rivalutazione strumentale dopo ulteriori 4 cicli in caso di malattia</w:t>
            </w:r>
          </w:p>
          <w:p w14:paraId="59F629E5" w14:textId="67FB6959" w:rsidR="002F08FA" w:rsidRPr="002F08FA" w:rsidRDefault="002F08FA" w:rsidP="002F08FA">
            <w:pPr>
              <w:spacing w:line="276" w:lineRule="auto"/>
              <w:ind w:left="360"/>
              <w:rPr>
                <w:rFonts w:ascii="Times New Roman" w:hAnsi="Times New Roman" w:cs="Times New Roman"/>
              </w:rPr>
            </w:pPr>
            <w:r w:rsidRPr="002F08FA">
              <w:rPr>
                <w:rFonts w:ascii="Times New Roman" w:eastAsia="Times New Roman" w:hAnsi="Times New Roman" w:cs="Times New Roman"/>
                <w:b/>
                <w:noProof/>
                <w:lang w:eastAsia="it-IT"/>
              </w:rPr>
              <mc:AlternateContent>
                <mc:Choice Requires="wps">
                  <w:drawing>
                    <wp:anchor distT="0" distB="0" distL="114300" distR="114300" simplePos="0" relativeHeight="251763712" behindDoc="0" locked="0" layoutInCell="1" allowOverlap="1" wp14:anchorId="7136B04A" wp14:editId="6B2DBD71">
                      <wp:simplePos x="0" y="0"/>
                      <wp:positionH relativeFrom="column">
                        <wp:posOffset>2398497</wp:posOffset>
                      </wp:positionH>
                      <wp:positionV relativeFrom="paragraph">
                        <wp:posOffset>57913</wp:posOffset>
                      </wp:positionV>
                      <wp:extent cx="555955" cy="328930"/>
                      <wp:effectExtent l="19050" t="19050" r="73025" b="52070"/>
                      <wp:wrapNone/>
                      <wp:docPr id="18" name="Connettore 2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955" cy="32893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624F7" id="Connettore 2 18" o:spid="_x0000_s1026" type="#_x0000_t32" style="position:absolute;margin-left:188.85pt;margin-top:4.55pt;width:43.8pt;height:25.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" strokecolor="#44546a [3215]" strokeweight="2.25pt">
                      <v:stroke endarrow="block" joinstyle="miter"/>
                      <o:lock v:ext="edit" shapetype="f"/>
                    </v:shape>
                  </w:pict>
                </mc:Fallback>
              </mc:AlternateContent>
            </w:r>
            <w:r w:rsidRPr="002F08FA">
              <w:rPr>
                <w:rFonts w:ascii="Times New Roman" w:eastAsia="Times New Roman" w:hAnsi="Times New Roman" w:cs="Times New Roman"/>
                <w:b/>
                <w:noProof/>
                <w:lang w:eastAsia="it-IT"/>
              </w:rPr>
              <mc:AlternateContent>
                <mc:Choice Requires="wps">
                  <w:drawing>
                    <wp:anchor distT="0" distB="0" distL="114300" distR="114300" simplePos="0" relativeHeight="251765760" behindDoc="0" locked="0" layoutInCell="1" allowOverlap="1" wp14:anchorId="69D403EF" wp14:editId="2EA4F69C">
                      <wp:simplePos x="0" y="0"/>
                      <wp:positionH relativeFrom="column">
                        <wp:posOffset>1908378</wp:posOffset>
                      </wp:positionH>
                      <wp:positionV relativeFrom="paragraph">
                        <wp:posOffset>57913</wp:posOffset>
                      </wp:positionV>
                      <wp:extent cx="488950" cy="329184"/>
                      <wp:effectExtent l="38100" t="19050" r="25400" b="52070"/>
                      <wp:wrapNone/>
                      <wp:docPr id="19" name="Connettore 2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8950" cy="329184"/>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82172D" id="Connettore 2 19" o:spid="_x0000_s1026" type="#_x0000_t32" style="position:absolute;margin-left:150.25pt;margin-top:4.55pt;width:38.5pt;height:25.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" strokecolor="#44546a [3215]" strokeweight="2.25pt">
                      <v:stroke endarrow="block" joinstyle="miter"/>
                      <o:lock v:ext="edit" shapetype="f"/>
                    </v:shape>
                  </w:pict>
                </mc:Fallback>
              </mc:AlternateContent>
            </w:r>
            <w:r w:rsidRPr="002F08FA">
              <w:rPr>
                <w:rFonts w:ascii="Times New Roman" w:hAnsi="Times New Roman" w:cs="Times New Roman"/>
                <w:b/>
              </w:rPr>
              <w:t>non operabile</w:t>
            </w:r>
            <w:r w:rsidRPr="002F08FA">
              <w:rPr>
                <w:rFonts w:ascii="Times New Roman" w:hAnsi="Times New Roman" w:cs="Times New Roman"/>
              </w:rPr>
              <w:t xml:space="preserve"> (vedi sopra)</w:t>
            </w:r>
            <w:r w:rsidRPr="002F08FA">
              <w:rPr>
                <w:rFonts w:ascii="Times New Roman" w:eastAsia="Times New Roman" w:hAnsi="Times New Roman" w:cs="Times New Roman"/>
                <w:noProof/>
                <w:lang w:eastAsia="it-IT"/>
              </w:rPr>
              <w:t xml:space="preserve"> </w:t>
            </w:r>
          </w:p>
          <w:p w14:paraId="660B859E" w14:textId="249002FA" w:rsidR="002F08FA" w:rsidRPr="002F08FA" w:rsidRDefault="002F08FA" w:rsidP="002F08FA">
            <w:pPr>
              <w:spacing w:line="276" w:lineRule="auto"/>
              <w:rPr>
                <w:rFonts w:ascii="Times New Roman" w:hAnsi="Times New Roman" w:cs="Times New Roman"/>
              </w:rPr>
            </w:pPr>
          </w:p>
          <w:p w14:paraId="183E6E4B" w14:textId="2BC5D387" w:rsidR="00923DF2" w:rsidRDefault="002F08FA" w:rsidP="00923DF2">
            <w:pPr>
              <w:spacing w:line="276" w:lineRule="auto"/>
              <w:rPr>
                <w:rFonts w:ascii="Times New Roman" w:hAnsi="Times New Roman" w:cs="Times New Roman"/>
              </w:rPr>
            </w:pPr>
            <w:r w:rsidRPr="002F08FA">
              <w:rPr>
                <w:rFonts w:ascii="Times New Roman" w:hAnsi="Times New Roman" w:cs="Times New Roman"/>
              </w:rPr>
              <w:t xml:space="preserve">       </w:t>
            </w:r>
            <w:r w:rsidR="00923DF2">
              <w:rPr>
                <w:rFonts w:ascii="Times New Roman" w:hAnsi="Times New Roman" w:cs="Times New Roman"/>
              </w:rPr>
              <w:t xml:space="preserve">                                    </w:t>
            </w:r>
            <w:r w:rsidRPr="002F08FA">
              <w:rPr>
                <w:rFonts w:ascii="Times New Roman" w:hAnsi="Times New Roman" w:cs="Times New Roman"/>
              </w:rPr>
              <w:t xml:space="preserve"> </w:t>
            </w:r>
            <w:r w:rsidR="00923DF2">
              <w:rPr>
                <w:rFonts w:ascii="Times New Roman" w:hAnsi="Times New Roman" w:cs="Times New Roman"/>
              </w:rPr>
              <w:t>Operabile             Non operabile</w:t>
            </w:r>
          </w:p>
          <w:p w14:paraId="2E19E599" w14:textId="77777777" w:rsidR="00923DF2" w:rsidRDefault="00923DF2" w:rsidP="00923DF2">
            <w:pPr>
              <w:spacing w:line="276" w:lineRule="auto"/>
              <w:rPr>
                <w:rFonts w:ascii="Times New Roman" w:hAnsi="Times New Roman" w:cs="Times New Roman"/>
              </w:rPr>
            </w:pPr>
            <w:r>
              <w:rPr>
                <w:rFonts w:ascii="Times New Roman" w:hAnsi="Times New Roman" w:cs="Times New Roman"/>
              </w:rPr>
              <w:t xml:space="preserve">                        Intervento Chirurgico              Prosegue trattamento chemioterapico</w:t>
            </w:r>
          </w:p>
          <w:p w14:paraId="1272A218" w14:textId="59F2FD8F" w:rsidR="002F08FA" w:rsidRPr="002F08FA" w:rsidRDefault="002F08FA" w:rsidP="002F08FA">
            <w:pPr>
              <w:spacing w:line="276" w:lineRule="auto"/>
              <w:ind w:left="360"/>
              <w:rPr>
                <w:rFonts w:ascii="Times New Roman" w:hAnsi="Times New Roman" w:cs="Times New Roman"/>
              </w:rPr>
            </w:pPr>
          </w:p>
        </w:tc>
      </w:tr>
      <w:tr w:rsidR="002F08FA" w14:paraId="3756A2C3" w14:textId="77777777" w:rsidTr="002F08FA">
        <w:trPr>
          <w:trHeight w:val="1532"/>
        </w:trPr>
        <w:tc>
          <w:tcPr>
            <w:tcW w:w="1980" w:type="dxa"/>
          </w:tcPr>
          <w:p w14:paraId="361B6E30" w14:textId="239BEE08" w:rsidR="002F08FA" w:rsidRPr="002F08FA" w:rsidRDefault="002F08FA"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Localmente avanzato, non resecabile</w:t>
            </w:r>
          </w:p>
        </w:tc>
        <w:tc>
          <w:tcPr>
            <w:tcW w:w="7648" w:type="dxa"/>
          </w:tcPr>
          <w:p w14:paraId="555EF7D6" w14:textId="51804C98"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Vedi malattia metastatica</w:t>
            </w:r>
          </w:p>
        </w:tc>
      </w:tr>
      <w:tr w:rsidR="002F08FA" w14:paraId="15EF523F" w14:textId="77777777" w:rsidTr="002F08FA">
        <w:trPr>
          <w:trHeight w:val="1532"/>
        </w:trPr>
        <w:tc>
          <w:tcPr>
            <w:tcW w:w="1980" w:type="dxa"/>
          </w:tcPr>
          <w:p w14:paraId="38172BE0" w14:textId="1F537D3D" w:rsidR="002F08FA" w:rsidRPr="002F08FA" w:rsidRDefault="002F08FA" w:rsidP="002F08FA">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IV stadio</w:t>
            </w:r>
          </w:p>
        </w:tc>
        <w:tc>
          <w:tcPr>
            <w:tcW w:w="7648" w:type="dxa"/>
          </w:tcPr>
          <w:p w14:paraId="2176DAB9" w14:textId="2E594CFE" w:rsidR="002F08FA" w:rsidRDefault="002F08FA" w:rsidP="002F08FA">
            <w:pPr>
              <w:spacing w:line="276" w:lineRule="auto"/>
              <w:rPr>
                <w:rFonts w:ascii="Times New Roman" w:hAnsi="Times New Roman" w:cs="Times New Roman"/>
                <w:b/>
              </w:rPr>
            </w:pPr>
            <w:r w:rsidRPr="002F08FA">
              <w:rPr>
                <w:rFonts w:ascii="Times New Roman" w:hAnsi="Times New Roman" w:cs="Times New Roman"/>
                <w:b/>
              </w:rPr>
              <w:t xml:space="preserve">Chemioterapia di I linea in base allo stato di </w:t>
            </w:r>
            <w:r>
              <w:rPr>
                <w:rFonts w:ascii="Times New Roman" w:hAnsi="Times New Roman" w:cs="Times New Roman"/>
                <w:b/>
              </w:rPr>
              <w:t>H</w:t>
            </w:r>
            <w:r w:rsidR="00C163BE">
              <w:rPr>
                <w:rFonts w:ascii="Times New Roman" w:hAnsi="Times New Roman" w:cs="Times New Roman"/>
                <w:b/>
              </w:rPr>
              <w:t>er</w:t>
            </w:r>
            <w:r>
              <w:rPr>
                <w:rFonts w:ascii="Times New Roman" w:hAnsi="Times New Roman" w:cs="Times New Roman"/>
                <w:b/>
              </w:rPr>
              <w:t>-2</w:t>
            </w:r>
            <w:r w:rsidR="00923DF2">
              <w:rPr>
                <w:rFonts w:ascii="Times New Roman" w:hAnsi="Times New Roman" w:cs="Times New Roman"/>
                <w:b/>
              </w:rPr>
              <w:t>,</w:t>
            </w:r>
            <w:r>
              <w:rPr>
                <w:rFonts w:ascii="Times New Roman" w:hAnsi="Times New Roman" w:cs="Times New Roman"/>
                <w:b/>
              </w:rPr>
              <w:t xml:space="preserve"> PD-L1 CPS (</w:t>
            </w:r>
            <w:r w:rsidRPr="00C330E0">
              <w:rPr>
                <w:rFonts w:ascii="Times New Roman" w:hAnsi="Times New Roman" w:cs="Times New Roman"/>
                <w:b/>
                <w:u w:val="single"/>
              </w:rPr>
              <w:t>mandatorio</w:t>
            </w:r>
            <w:r>
              <w:rPr>
                <w:rFonts w:ascii="Times New Roman" w:hAnsi="Times New Roman" w:cs="Times New Roman"/>
                <w:b/>
              </w:rPr>
              <w:t>)</w:t>
            </w:r>
            <w:r w:rsidR="00923DF2">
              <w:rPr>
                <w:rFonts w:ascii="Times New Roman" w:hAnsi="Times New Roman" w:cs="Times New Roman"/>
                <w:b/>
              </w:rPr>
              <w:t xml:space="preserve"> e Claudina 18.2 (fortemente consigliato).</w:t>
            </w:r>
          </w:p>
          <w:p w14:paraId="099283B2" w14:textId="0C1D66DA"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Valutazione stato di MSI (</w:t>
            </w:r>
            <w:r w:rsidR="00C163BE" w:rsidRPr="00C163BE">
              <w:rPr>
                <w:rFonts w:ascii="Times New Roman" w:hAnsi="Times New Roman" w:cs="Times New Roman"/>
                <w:b/>
                <w:u w:val="single"/>
              </w:rPr>
              <w:t>mandatorio</w:t>
            </w:r>
            <w:r w:rsidRPr="002F08FA">
              <w:rPr>
                <w:rFonts w:ascii="Times New Roman" w:hAnsi="Times New Roman" w:cs="Times New Roman"/>
                <w:b/>
              </w:rPr>
              <w:t xml:space="preserve">). </w:t>
            </w:r>
          </w:p>
          <w:p w14:paraId="37EC1550" w14:textId="77777777"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Valutare l’inserimento in trials clinici.</w:t>
            </w:r>
          </w:p>
          <w:p w14:paraId="07E93777" w14:textId="77777777"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Chirurgia palliativa del primitivo in caso di stenosi serrate o sanguinamenti</w:t>
            </w:r>
          </w:p>
          <w:p w14:paraId="154680E2" w14:textId="2F936519"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 xml:space="preserve">Chirurgia di protezione in caso di stenosi da carcinosi peritoneale </w:t>
            </w:r>
          </w:p>
          <w:p w14:paraId="6A7200C0" w14:textId="77777777"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 xml:space="preserve">Posizionamento di endoprotesi in caso di disfagia </w:t>
            </w:r>
          </w:p>
          <w:p w14:paraId="762484E8" w14:textId="77777777"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 xml:space="preserve">Supporto nutrizionistico </w:t>
            </w:r>
          </w:p>
          <w:p w14:paraId="6BFAF754" w14:textId="0F959D0B" w:rsidR="00C163BE" w:rsidRPr="00C163BE" w:rsidRDefault="002F08FA" w:rsidP="00C163BE">
            <w:pPr>
              <w:spacing w:line="276" w:lineRule="auto"/>
              <w:rPr>
                <w:rFonts w:ascii="Times New Roman" w:hAnsi="Times New Roman" w:cs="Times New Roman"/>
                <w:b/>
              </w:rPr>
            </w:pPr>
            <w:r w:rsidRPr="002F08FA">
              <w:rPr>
                <w:rFonts w:ascii="Times New Roman" w:hAnsi="Times New Roman" w:cs="Times New Roman"/>
                <w:b/>
              </w:rPr>
              <w:t>Terapia antalgica</w:t>
            </w:r>
          </w:p>
        </w:tc>
      </w:tr>
      <w:tr w:rsidR="002F08FA" w14:paraId="425668A3" w14:textId="77777777" w:rsidTr="00090773">
        <w:trPr>
          <w:trHeight w:val="699"/>
        </w:trPr>
        <w:tc>
          <w:tcPr>
            <w:tcW w:w="1980" w:type="dxa"/>
          </w:tcPr>
          <w:p w14:paraId="638CAC5C" w14:textId="77777777" w:rsidR="002F08FA" w:rsidRPr="002F08FA" w:rsidRDefault="002F08FA" w:rsidP="002F08FA">
            <w:pPr>
              <w:spacing w:line="276" w:lineRule="auto"/>
              <w:rPr>
                <w:rFonts w:ascii="Times New Roman" w:eastAsia="Times New Roman" w:hAnsi="Times New Roman" w:cs="Times New Roman"/>
                <w:b/>
              </w:rPr>
            </w:pPr>
          </w:p>
        </w:tc>
        <w:tc>
          <w:tcPr>
            <w:tcW w:w="7648" w:type="dxa"/>
          </w:tcPr>
          <w:p w14:paraId="4C36DBC9" w14:textId="7B5DCBAC" w:rsidR="002F08FA" w:rsidRDefault="002F08FA" w:rsidP="002F08FA">
            <w:pPr>
              <w:spacing w:line="276" w:lineRule="auto"/>
              <w:rPr>
                <w:rFonts w:ascii="Times New Roman" w:hAnsi="Times New Roman" w:cs="Times New Roman"/>
                <w:b/>
              </w:rPr>
            </w:pPr>
            <w:r w:rsidRPr="002F08FA">
              <w:rPr>
                <w:rFonts w:ascii="Times New Roman" w:hAnsi="Times New Roman" w:cs="Times New Roman"/>
                <w:b/>
              </w:rPr>
              <w:t xml:space="preserve">Chemioterapia di II linea in pazienti </w:t>
            </w:r>
            <w:r w:rsidR="00C163BE">
              <w:rPr>
                <w:rFonts w:ascii="Times New Roman" w:hAnsi="Times New Roman" w:cs="Times New Roman"/>
                <w:b/>
              </w:rPr>
              <w:t xml:space="preserve">MSS (stabilità dei microsatelliti) </w:t>
            </w:r>
            <w:r w:rsidRPr="002F08FA">
              <w:rPr>
                <w:rFonts w:ascii="Times New Roman" w:hAnsi="Times New Roman" w:cs="Times New Roman"/>
                <w:b/>
              </w:rPr>
              <w:t>con accettabile performance status (PS) 0-1 in progressione dopo una I linea di trattamento.</w:t>
            </w:r>
          </w:p>
          <w:p w14:paraId="660640F4" w14:textId="25E0607D" w:rsidR="00C163BE" w:rsidRDefault="00C163BE" w:rsidP="002F08FA">
            <w:pPr>
              <w:spacing w:line="276" w:lineRule="auto"/>
              <w:rPr>
                <w:rFonts w:ascii="Times New Roman" w:hAnsi="Times New Roman" w:cs="Times New Roman"/>
                <w:b/>
              </w:rPr>
            </w:pPr>
            <w:r>
              <w:rPr>
                <w:rFonts w:ascii="Times New Roman" w:hAnsi="Times New Roman" w:cs="Times New Roman"/>
                <w:b/>
              </w:rPr>
              <w:t>Immunoterapia esclusiva di II linea (Pembrolizumab), o a partire dalla II linea, in pazienti con tumori MSI-H che non abbiano ricevuto un trattamento immunoterapico in precedenza, con accettabile PS 0-1 in progressione dopo almeno una I linea di trattamento.</w:t>
            </w:r>
          </w:p>
          <w:p w14:paraId="48850D64" w14:textId="0B9DD0B3" w:rsidR="00C163BE" w:rsidRPr="002F08FA" w:rsidRDefault="00C163BE" w:rsidP="002F08FA">
            <w:pPr>
              <w:spacing w:line="276" w:lineRule="auto"/>
              <w:rPr>
                <w:rFonts w:ascii="Times New Roman" w:hAnsi="Times New Roman" w:cs="Times New Roman"/>
                <w:b/>
              </w:rPr>
            </w:pPr>
            <w:r>
              <w:rPr>
                <w:rFonts w:ascii="Times New Roman" w:hAnsi="Times New Roman" w:cs="Times New Roman"/>
                <w:b/>
              </w:rPr>
              <w:t>Trattamento di II linea con Trastuzumab-Deruxtecan (T-DXd) esclusivamente in pazienti HER2 positivi in progressione ad un trattamento di 1° linea contenente trastuzumab.</w:t>
            </w:r>
          </w:p>
          <w:p w14:paraId="5F0207EF" w14:textId="6FE30291" w:rsidR="002F08FA" w:rsidRDefault="002F08FA" w:rsidP="002F08FA">
            <w:pPr>
              <w:spacing w:line="276" w:lineRule="auto"/>
              <w:rPr>
                <w:rFonts w:ascii="Times New Roman" w:hAnsi="Times New Roman" w:cs="Times New Roman"/>
                <w:b/>
              </w:rPr>
            </w:pPr>
            <w:r w:rsidRPr="002F08FA">
              <w:rPr>
                <w:rFonts w:ascii="Times New Roman" w:hAnsi="Times New Roman" w:cs="Times New Roman"/>
                <w:b/>
              </w:rPr>
              <w:t>Valutare l’inserimento in trials clinici</w:t>
            </w:r>
            <w:r w:rsidR="00C163BE">
              <w:rPr>
                <w:rFonts w:ascii="Times New Roman" w:hAnsi="Times New Roman" w:cs="Times New Roman"/>
                <w:b/>
              </w:rPr>
              <w:t>.</w:t>
            </w:r>
            <w:r w:rsidRPr="002F08FA">
              <w:rPr>
                <w:rFonts w:ascii="Times New Roman" w:hAnsi="Times New Roman" w:cs="Times New Roman"/>
                <w:b/>
              </w:rPr>
              <w:t xml:space="preserve"> </w:t>
            </w:r>
          </w:p>
          <w:p w14:paraId="04C58469" w14:textId="77777777" w:rsidR="002F08FA" w:rsidRDefault="002F08FA" w:rsidP="002F08FA">
            <w:pPr>
              <w:spacing w:line="276" w:lineRule="auto"/>
              <w:rPr>
                <w:rFonts w:ascii="Times New Roman" w:hAnsi="Times New Roman" w:cs="Times New Roman"/>
                <w:b/>
              </w:rPr>
            </w:pPr>
            <w:r w:rsidRPr="002F08FA">
              <w:rPr>
                <w:rFonts w:ascii="Times New Roman" w:hAnsi="Times New Roman" w:cs="Times New Roman"/>
                <w:b/>
              </w:rPr>
              <w:t>Chemioterapia di III linea in pazienti con acce</w:t>
            </w:r>
            <w:r>
              <w:rPr>
                <w:rFonts w:ascii="Times New Roman" w:hAnsi="Times New Roman" w:cs="Times New Roman"/>
                <w:b/>
              </w:rPr>
              <w:t>ttabile performance status (PS)</w:t>
            </w:r>
          </w:p>
          <w:p w14:paraId="54F157F6" w14:textId="76272D06" w:rsidR="002F08FA" w:rsidRPr="002F08FA" w:rsidRDefault="002F08FA" w:rsidP="002F08FA">
            <w:pPr>
              <w:spacing w:line="276" w:lineRule="auto"/>
              <w:rPr>
                <w:rFonts w:ascii="Times New Roman" w:hAnsi="Times New Roman" w:cs="Times New Roman"/>
                <w:b/>
              </w:rPr>
            </w:pPr>
            <w:r w:rsidRPr="002F08FA">
              <w:rPr>
                <w:rFonts w:ascii="Times New Roman" w:hAnsi="Times New Roman" w:cs="Times New Roman"/>
                <w:b/>
              </w:rPr>
              <w:t>0-1 in progressione dopo una II linea di trattamento</w:t>
            </w:r>
            <w:r w:rsidR="00C163BE">
              <w:rPr>
                <w:rFonts w:ascii="Times New Roman" w:hAnsi="Times New Roman" w:cs="Times New Roman"/>
                <w:b/>
              </w:rPr>
              <w:t xml:space="preserve"> (Trifluridine-tipiracil)</w:t>
            </w:r>
            <w:r w:rsidRPr="002F08FA">
              <w:rPr>
                <w:rFonts w:ascii="Times New Roman" w:hAnsi="Times New Roman" w:cs="Times New Roman"/>
                <w:b/>
              </w:rPr>
              <w:t xml:space="preserve">. </w:t>
            </w:r>
          </w:p>
          <w:p w14:paraId="26BD2C3A" w14:textId="303E2FEF" w:rsidR="002F08FA" w:rsidRPr="002F08FA" w:rsidRDefault="002F08FA" w:rsidP="00C163BE">
            <w:pPr>
              <w:spacing w:line="276" w:lineRule="auto"/>
              <w:rPr>
                <w:rFonts w:ascii="Times New Roman" w:hAnsi="Times New Roman" w:cs="Times New Roman"/>
              </w:rPr>
            </w:pPr>
            <w:r w:rsidRPr="002F08FA">
              <w:rPr>
                <w:rFonts w:ascii="Times New Roman" w:hAnsi="Times New Roman" w:cs="Times New Roman"/>
                <w:b/>
              </w:rPr>
              <w:t>Valutare l’inserimento in trials clinici</w:t>
            </w:r>
            <w:r w:rsidR="00C163BE">
              <w:rPr>
                <w:rFonts w:ascii="Times New Roman" w:hAnsi="Times New Roman" w:cs="Times New Roman"/>
                <w:b/>
              </w:rPr>
              <w:t>.</w:t>
            </w:r>
          </w:p>
        </w:tc>
      </w:tr>
    </w:tbl>
    <w:p w14:paraId="25BCE7AD" w14:textId="77777777" w:rsidR="00CC20A3" w:rsidRDefault="00CC20A3" w:rsidP="00955A9B">
      <w:pPr>
        <w:spacing w:line="360" w:lineRule="auto"/>
        <w:jc w:val="both"/>
        <w:rPr>
          <w:rFonts w:ascii="Times New Roman" w:eastAsia="Times New Roman" w:hAnsi="Times New Roman" w:cs="Times New Roman"/>
          <w:b/>
          <w:sz w:val="24"/>
          <w:szCs w:val="24"/>
        </w:rPr>
      </w:pPr>
    </w:p>
    <w:p w14:paraId="2121BFEA" w14:textId="77777777" w:rsidR="00256856" w:rsidRDefault="00256856" w:rsidP="00955A9B">
      <w:pPr>
        <w:spacing w:line="360" w:lineRule="auto"/>
        <w:jc w:val="both"/>
        <w:rPr>
          <w:rFonts w:ascii="Times New Roman" w:eastAsia="Times New Roman" w:hAnsi="Times New Roman" w:cs="Times New Roman"/>
          <w:b/>
          <w:sz w:val="24"/>
          <w:szCs w:val="24"/>
        </w:rPr>
      </w:pPr>
    </w:p>
    <w:p w14:paraId="55DF4885" w14:textId="77777777" w:rsidR="00256856" w:rsidRDefault="00256856" w:rsidP="00955A9B">
      <w:pPr>
        <w:spacing w:line="360" w:lineRule="auto"/>
        <w:jc w:val="both"/>
        <w:rPr>
          <w:rFonts w:ascii="Times New Roman" w:eastAsia="Times New Roman" w:hAnsi="Times New Roman" w:cs="Times New Roman"/>
          <w:b/>
          <w:sz w:val="24"/>
          <w:szCs w:val="24"/>
        </w:rPr>
      </w:pPr>
    </w:p>
    <w:p w14:paraId="7A9B197C" w14:textId="2DE2FFEE" w:rsidR="000F2E04" w:rsidRDefault="000F2E04" w:rsidP="00955A9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Flowchart</w:t>
      </w:r>
      <w:r w:rsidR="00256856">
        <w:rPr>
          <w:rFonts w:ascii="Times New Roman" w:eastAsia="Times New Roman" w:hAnsi="Times New Roman" w:cs="Times New Roman"/>
          <w:b/>
          <w:sz w:val="24"/>
          <w:szCs w:val="24"/>
        </w:rPr>
        <w:t xml:space="preserve"> riassuntiva</w:t>
      </w:r>
    </w:p>
    <w:p w14:paraId="3E9D8F40" w14:textId="318FE69D" w:rsidR="000F2E04" w:rsidRDefault="000F2E04" w:rsidP="00955A9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it-IT"/>
        </w:rPr>
        <w:drawing>
          <wp:inline distT="0" distB="0" distL="0" distR="0" wp14:anchorId="788EEFEC" wp14:editId="33B9827D">
            <wp:extent cx="6120130" cy="2396490"/>
            <wp:effectExtent l="0" t="0" r="1270" b="3810"/>
            <wp:docPr id="1384397265" name="Immagine 36" descr="Immagine che contiene diagramma, linea, Piano,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97265" name="Immagine 36" descr="Immagine che contiene diagramma, linea, Piano, Parallelo&#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396490"/>
                    </a:xfrm>
                    <a:prstGeom prst="rect">
                      <a:avLst/>
                    </a:prstGeom>
                  </pic:spPr>
                </pic:pic>
              </a:graphicData>
            </a:graphic>
          </wp:inline>
        </w:drawing>
      </w:r>
    </w:p>
    <w:p w14:paraId="07177B92" w14:textId="106C27A1" w:rsidR="00512114" w:rsidRPr="00955A9B" w:rsidRDefault="00512114"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FOLLOW-UP PER PAZIENTE CON PATOLOGIA GASTRICA PREGRESSA</w:t>
      </w:r>
    </w:p>
    <w:p w14:paraId="4559EB74" w14:textId="681634B9" w:rsidR="00512114" w:rsidRPr="00955A9B" w:rsidRDefault="00512114"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Qualora la malattia fosse suscettibile di trattamento chirurgico radicale, al termine della gestione terapeutica multidisciplinare del caso, il/la paziente rientrerà in un adeguato percorso di follow-up clinico-strumentale per i successivi 10 anni ai fini dell’individuazione precoce di eventuali recidive lo</w:t>
      </w:r>
      <w:r w:rsidR="00836B7B">
        <w:rPr>
          <w:rFonts w:ascii="Times New Roman" w:eastAsia="Times New Roman" w:hAnsi="Times New Roman" w:cs="Times New Roman"/>
          <w:sz w:val="24"/>
          <w:szCs w:val="24"/>
        </w:rPr>
        <w:t>cali o a distanza (vedi Figura 2</w:t>
      </w:r>
      <w:r w:rsidRPr="00955A9B">
        <w:rPr>
          <w:rFonts w:ascii="Times New Roman" w:eastAsia="Times New Roman" w:hAnsi="Times New Roman" w:cs="Times New Roman"/>
          <w:sz w:val="24"/>
          <w:szCs w:val="24"/>
        </w:rPr>
        <w:t xml:space="preserve"> e tabella 5) e della presenza di complicanze legate all’intervento chirurgico (es. anemia, dumping </w:t>
      </w:r>
      <w:r w:rsidR="003D1203" w:rsidRPr="00955A9B">
        <w:rPr>
          <w:rFonts w:ascii="Times New Roman" w:eastAsia="Times New Roman" w:hAnsi="Times New Roman" w:cs="Times New Roman"/>
          <w:sz w:val="24"/>
          <w:szCs w:val="24"/>
        </w:rPr>
        <w:t>sindrome</w:t>
      </w:r>
      <w:r w:rsidRPr="00955A9B">
        <w:rPr>
          <w:rFonts w:ascii="Times New Roman" w:eastAsia="Times New Roman" w:hAnsi="Times New Roman" w:cs="Times New Roman"/>
          <w:sz w:val="24"/>
          <w:szCs w:val="24"/>
        </w:rPr>
        <w:t>). Ad oggi, non esistono programmi di follow-up standardizzati. In caso di recidiva il/la paziente sarà opportunamente rivalutato/a dall’Oncologo Medico al fine di definire il più opportuno percorso terapeutico, in accordo a quelle che saranno le più aggiornate linee guida nazionali ed internazionali. Tali percorsi saranno modificati nel tempo al fine di garantire il rispetto delle più aggiornate linee guida nazionali ed internazionali del caso. Ai fini della stadiazione e del successivo percorso terapeutico del caso, si rimanda ai rispettivi PDTA in precedenza illustrati e le principali linee guida per la gestione della patologia.</w:t>
      </w:r>
    </w:p>
    <w:p w14:paraId="1B42354B" w14:textId="5EBD3E87" w:rsidR="00512114" w:rsidRPr="00955A9B" w:rsidRDefault="00836B7B" w:rsidP="00955A9B">
      <w:pPr>
        <w:spacing w:line="36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Tabella 8</w:t>
      </w:r>
      <w:r w:rsidR="00512114" w:rsidRPr="00955A9B">
        <w:rPr>
          <w:rFonts w:ascii="Times New Roman" w:eastAsia="Times New Roman" w:hAnsi="Times New Roman" w:cs="Times New Roman"/>
          <w:b/>
          <w:sz w:val="24"/>
          <w:szCs w:val="24"/>
        </w:rPr>
        <w:t>. Schedula di follow-up nei pazienti trattati per neoplasia gastrica</w:t>
      </w:r>
      <w:r w:rsidR="007836F3" w:rsidRPr="00955A9B">
        <w:rPr>
          <w:rFonts w:ascii="Times New Roman" w:eastAsia="Times New Roman" w:hAnsi="Times New Roman" w:cs="Times New Roman"/>
          <w:b/>
          <w:noProof/>
          <w:sz w:val="24"/>
          <w:szCs w:val="24"/>
          <w:lang w:eastAsia="it-IT"/>
        </w:rPr>
        <mc:AlternateContent>
          <mc:Choice Requires="wps">
            <w:drawing>
              <wp:anchor distT="4294967295" distB="4294967295" distL="114300" distR="114300" simplePos="0" relativeHeight="251668480" behindDoc="1" locked="0" layoutInCell="1" allowOverlap="1" wp14:anchorId="58E20B96" wp14:editId="4BF35746">
                <wp:simplePos x="0" y="0"/>
                <wp:positionH relativeFrom="column">
                  <wp:posOffset>2540</wp:posOffset>
                </wp:positionH>
                <wp:positionV relativeFrom="paragraph">
                  <wp:posOffset>356234</wp:posOffset>
                </wp:positionV>
                <wp:extent cx="6115685" cy="0"/>
                <wp:effectExtent l="0" t="0" r="18415" b="0"/>
                <wp:wrapNone/>
                <wp:docPr id="9" name="Connettore dirit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47F6C3" id="Connettore diritto 9"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8.05pt" to="481.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" strokecolor="#7f7f7f" strokeweight=".16931mm"/>
            </w:pict>
          </mc:Fallback>
        </mc:AlternateContent>
      </w:r>
    </w:p>
    <w:p w14:paraId="689A7828" w14:textId="2EB58B31" w:rsidR="00512114" w:rsidRPr="00955A9B" w:rsidRDefault="000A667F" w:rsidP="00955A9B">
      <w:pPr>
        <w:tabs>
          <w:tab w:val="left" w:pos="4060"/>
        </w:tabs>
        <w:spacing w:line="240" w:lineRule="auto"/>
        <w:ind w:left="2100"/>
        <w:rPr>
          <w:rFonts w:ascii="Times New Roman" w:eastAsia="Times New Roman" w:hAnsi="Times New Roman" w:cs="Times New Roman"/>
          <w:szCs w:val="24"/>
        </w:rPr>
      </w:pPr>
      <w:r>
        <w:rPr>
          <w:rFonts w:ascii="Times New Roman" w:eastAsia="Times New Roman" w:hAnsi="Times New Roman" w:cs="Times New Roman"/>
          <w:b/>
          <w:szCs w:val="24"/>
        </w:rPr>
        <w:t xml:space="preserve">                                     </w:t>
      </w:r>
      <w:r w:rsidR="00512114" w:rsidRPr="00955A9B">
        <w:rPr>
          <w:rFonts w:ascii="Times New Roman" w:eastAsia="Times New Roman" w:hAnsi="Times New Roman" w:cs="Times New Roman"/>
          <w:b/>
          <w:szCs w:val="24"/>
        </w:rPr>
        <w:t>Timing</w:t>
      </w:r>
      <w:r w:rsidR="00512114" w:rsidRPr="00955A9B">
        <w:rPr>
          <w:rFonts w:ascii="Times New Roman" w:eastAsia="Times New Roman" w:hAnsi="Times New Roman" w:cs="Times New Roman"/>
          <w:szCs w:val="24"/>
        </w:rPr>
        <w:tab/>
      </w:r>
      <w:r>
        <w:rPr>
          <w:rFonts w:ascii="Times New Roman" w:eastAsia="Times New Roman" w:hAnsi="Times New Roman" w:cs="Times New Roman"/>
          <w:szCs w:val="24"/>
        </w:rPr>
        <w:t xml:space="preserve">                                          </w:t>
      </w:r>
      <w:r w:rsidR="00512114" w:rsidRPr="00955A9B">
        <w:rPr>
          <w:rFonts w:ascii="Times New Roman" w:eastAsia="Times New Roman" w:hAnsi="Times New Roman" w:cs="Times New Roman"/>
          <w:b/>
          <w:szCs w:val="24"/>
        </w:rPr>
        <w:t>Follow-up</w:t>
      </w:r>
      <w:r w:rsidR="007836F3" w:rsidRPr="00955A9B">
        <w:rPr>
          <w:rFonts w:ascii="Times New Roman" w:eastAsia="Times New Roman" w:hAnsi="Times New Roman" w:cs="Times New Roman"/>
          <w:b/>
          <w:noProof/>
          <w:szCs w:val="24"/>
          <w:lang w:eastAsia="it-IT"/>
        </w:rPr>
        <mc:AlternateContent>
          <mc:Choice Requires="wps">
            <w:drawing>
              <wp:anchor distT="4294967295" distB="4294967295" distL="114300" distR="114300" simplePos="0" relativeHeight="251669504" behindDoc="1" locked="0" layoutInCell="1" allowOverlap="1" wp14:anchorId="72E356B3" wp14:editId="17BACFC5">
                <wp:simplePos x="0" y="0"/>
                <wp:positionH relativeFrom="column">
                  <wp:posOffset>2540</wp:posOffset>
                </wp:positionH>
                <wp:positionV relativeFrom="paragraph">
                  <wp:posOffset>411479</wp:posOffset>
                </wp:positionV>
                <wp:extent cx="6115685" cy="0"/>
                <wp:effectExtent l="0" t="0" r="18415" b="0"/>
                <wp:wrapNone/>
                <wp:docPr id="8" name="Connettore dirit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9CB958" id="Connettore diritto 8"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32.4pt" to="481.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" strokecolor="#7f7f7f" strokeweight=".16931mm"/>
            </w:pict>
          </mc:Fallback>
        </mc:AlternateContent>
      </w:r>
    </w:p>
    <w:p w14:paraId="0900825B" w14:textId="77777777" w:rsidR="00512114" w:rsidRPr="00955A9B" w:rsidRDefault="00512114" w:rsidP="00955A9B">
      <w:pPr>
        <w:spacing w:line="240" w:lineRule="auto"/>
        <w:rPr>
          <w:rFonts w:ascii="Times New Roman" w:eastAsia="Times New Roman" w:hAnsi="Times New Roman" w:cs="Times New Roman"/>
          <w:szCs w:val="24"/>
        </w:rPr>
      </w:pPr>
    </w:p>
    <w:tbl>
      <w:tblPr>
        <w:tblStyle w:val="Grigliatabella"/>
        <w:tblW w:w="0" w:type="auto"/>
        <w:tblLook w:val="04A0" w:firstRow="1" w:lastRow="0" w:firstColumn="1" w:lastColumn="0" w:noHBand="0" w:noVBand="1"/>
      </w:tblPr>
      <w:tblGrid>
        <w:gridCol w:w="3209"/>
        <w:gridCol w:w="3209"/>
        <w:gridCol w:w="3210"/>
      </w:tblGrid>
      <w:tr w:rsidR="000A667F" w14:paraId="391F1838" w14:textId="77777777" w:rsidTr="000A667F">
        <w:tc>
          <w:tcPr>
            <w:tcW w:w="3209" w:type="dxa"/>
          </w:tcPr>
          <w:p w14:paraId="45B14CB8" w14:textId="3136FC46" w:rsidR="000A667F" w:rsidRPr="000A667F" w:rsidRDefault="000A667F" w:rsidP="00955A9B">
            <w:pPr>
              <w:rPr>
                <w:rFonts w:ascii="Times New Roman" w:hAnsi="Times New Roman" w:cs="Times New Roman"/>
                <w:b/>
                <w:szCs w:val="24"/>
              </w:rPr>
            </w:pPr>
            <w:r w:rsidRPr="000A667F">
              <w:rPr>
                <w:rFonts w:ascii="Times New Roman" w:hAnsi="Times New Roman" w:cs="Times New Roman"/>
                <w:b/>
                <w:szCs w:val="24"/>
              </w:rPr>
              <w:t>0-2 anni</w:t>
            </w:r>
          </w:p>
        </w:tc>
        <w:tc>
          <w:tcPr>
            <w:tcW w:w="3209" w:type="dxa"/>
          </w:tcPr>
          <w:p w14:paraId="3DD9145F" w14:textId="2976DD97" w:rsidR="000A667F" w:rsidRPr="000A667F" w:rsidRDefault="000A667F" w:rsidP="00955A9B">
            <w:pPr>
              <w:rPr>
                <w:rFonts w:ascii="Times New Roman" w:hAnsi="Times New Roman" w:cs="Times New Roman"/>
                <w:b/>
                <w:szCs w:val="24"/>
              </w:rPr>
            </w:pPr>
            <w:r w:rsidRPr="000A667F">
              <w:rPr>
                <w:rFonts w:ascii="Times New Roman" w:hAnsi="Times New Roman" w:cs="Times New Roman"/>
                <w:b/>
                <w:szCs w:val="24"/>
              </w:rPr>
              <w:t>Ogni 3-4 mesi</w:t>
            </w:r>
          </w:p>
        </w:tc>
        <w:tc>
          <w:tcPr>
            <w:tcW w:w="3210" w:type="dxa"/>
          </w:tcPr>
          <w:p w14:paraId="1FA6F175" w14:textId="5EAA86AE"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-Visita clinica</w:t>
            </w:r>
          </w:p>
          <w:p w14:paraId="2B2B4FC3" w14:textId="1E486293"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-Esami ematochimici</w:t>
            </w:r>
            <w:r w:rsidR="008A7FBB">
              <w:rPr>
                <w:rFonts w:ascii="Times New Roman" w:hAnsi="Times New Roman" w:cs="Times New Roman"/>
                <w:b/>
                <w:szCs w:val="24"/>
              </w:rPr>
              <w:t>*</w:t>
            </w:r>
          </w:p>
          <w:p w14:paraId="77819EF9" w14:textId="6B365774"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 xml:space="preserve">-EGDS ogni anno; TC total body con mdc ogni </w:t>
            </w:r>
            <w:r w:rsidR="0038321F">
              <w:rPr>
                <w:rFonts w:ascii="Times New Roman" w:hAnsi="Times New Roman" w:cs="Times New Roman"/>
                <w:b/>
                <w:szCs w:val="24"/>
              </w:rPr>
              <w:t>sei mesi</w:t>
            </w:r>
            <w:r w:rsidRPr="000A667F">
              <w:rPr>
                <w:rFonts w:ascii="Times New Roman" w:hAnsi="Times New Roman" w:cs="Times New Roman"/>
                <w:b/>
                <w:szCs w:val="24"/>
              </w:rPr>
              <w:t>; Ecografia addome ogni 6 mesi</w:t>
            </w:r>
          </w:p>
          <w:p w14:paraId="4BEF5F12" w14:textId="2751D6D3"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-Esami strumentali da eseguire su necessità clinica</w:t>
            </w:r>
          </w:p>
        </w:tc>
      </w:tr>
      <w:tr w:rsidR="000A667F" w14:paraId="2A6BA7C8" w14:textId="77777777" w:rsidTr="000A667F">
        <w:tc>
          <w:tcPr>
            <w:tcW w:w="3209" w:type="dxa"/>
          </w:tcPr>
          <w:p w14:paraId="68CD8389" w14:textId="44598A24" w:rsidR="000A667F" w:rsidRPr="000A667F" w:rsidRDefault="000A667F" w:rsidP="00955A9B">
            <w:pPr>
              <w:rPr>
                <w:rFonts w:ascii="Times New Roman" w:hAnsi="Times New Roman" w:cs="Times New Roman"/>
                <w:b/>
                <w:szCs w:val="24"/>
              </w:rPr>
            </w:pPr>
            <w:r w:rsidRPr="000A667F">
              <w:rPr>
                <w:rFonts w:ascii="Times New Roman" w:hAnsi="Times New Roman" w:cs="Times New Roman"/>
                <w:b/>
                <w:szCs w:val="24"/>
              </w:rPr>
              <w:t>3-5 anni</w:t>
            </w:r>
          </w:p>
        </w:tc>
        <w:tc>
          <w:tcPr>
            <w:tcW w:w="3209" w:type="dxa"/>
          </w:tcPr>
          <w:p w14:paraId="2F3C13BC" w14:textId="4920265D" w:rsidR="000A667F" w:rsidRPr="000A667F" w:rsidRDefault="000A667F" w:rsidP="00955A9B">
            <w:pPr>
              <w:rPr>
                <w:rFonts w:ascii="Times New Roman" w:hAnsi="Times New Roman" w:cs="Times New Roman"/>
                <w:b/>
                <w:szCs w:val="24"/>
              </w:rPr>
            </w:pPr>
            <w:r w:rsidRPr="000A667F">
              <w:rPr>
                <w:rFonts w:ascii="Times New Roman" w:hAnsi="Times New Roman" w:cs="Times New Roman"/>
                <w:b/>
                <w:szCs w:val="24"/>
              </w:rPr>
              <w:t>Ogni 6 mesi</w:t>
            </w:r>
          </w:p>
        </w:tc>
        <w:tc>
          <w:tcPr>
            <w:tcW w:w="3210" w:type="dxa"/>
          </w:tcPr>
          <w:p w14:paraId="5F2A821E" w14:textId="77777777"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-Visita clinica</w:t>
            </w:r>
          </w:p>
          <w:p w14:paraId="5F9B5967" w14:textId="3D4529F7"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-Esami ematochimici</w:t>
            </w:r>
            <w:r w:rsidR="008A7FBB">
              <w:rPr>
                <w:rFonts w:ascii="Times New Roman" w:hAnsi="Times New Roman" w:cs="Times New Roman"/>
                <w:b/>
                <w:szCs w:val="24"/>
              </w:rPr>
              <w:t>*</w:t>
            </w:r>
          </w:p>
          <w:p w14:paraId="5CC0CBA7" w14:textId="6E64DF57"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-EGDS ogni 2 anni; TC total body con mdc ogni anno; Ecografia addome ogni 6 mesi</w:t>
            </w:r>
          </w:p>
          <w:p w14:paraId="2ECDDB87" w14:textId="2D53A831"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-Esami strumentali da eseguire su necessità clinica</w:t>
            </w:r>
          </w:p>
        </w:tc>
      </w:tr>
      <w:tr w:rsidR="000A667F" w14:paraId="4CA14550" w14:textId="77777777" w:rsidTr="000A667F">
        <w:tc>
          <w:tcPr>
            <w:tcW w:w="3209" w:type="dxa"/>
          </w:tcPr>
          <w:p w14:paraId="58D159DF" w14:textId="46F26E9E" w:rsidR="000A667F" w:rsidRPr="000A667F" w:rsidRDefault="000A667F" w:rsidP="00955A9B">
            <w:pPr>
              <w:rPr>
                <w:rFonts w:ascii="Times New Roman" w:hAnsi="Times New Roman" w:cs="Times New Roman"/>
                <w:b/>
                <w:szCs w:val="24"/>
              </w:rPr>
            </w:pPr>
            <w:r w:rsidRPr="000A667F">
              <w:rPr>
                <w:rFonts w:ascii="Times New Roman" w:hAnsi="Times New Roman" w:cs="Times New Roman"/>
                <w:b/>
                <w:szCs w:val="24"/>
              </w:rPr>
              <w:t>&gt;5 anni</w:t>
            </w:r>
          </w:p>
        </w:tc>
        <w:tc>
          <w:tcPr>
            <w:tcW w:w="3209" w:type="dxa"/>
          </w:tcPr>
          <w:p w14:paraId="7271943A" w14:textId="54274F78" w:rsidR="000A667F" w:rsidRPr="000A667F" w:rsidRDefault="000A667F" w:rsidP="00955A9B">
            <w:pPr>
              <w:rPr>
                <w:rFonts w:ascii="Times New Roman" w:hAnsi="Times New Roman" w:cs="Times New Roman"/>
                <w:b/>
                <w:szCs w:val="24"/>
              </w:rPr>
            </w:pPr>
            <w:r w:rsidRPr="000A667F">
              <w:rPr>
                <w:rFonts w:ascii="Times New Roman" w:hAnsi="Times New Roman" w:cs="Times New Roman"/>
                <w:b/>
                <w:szCs w:val="24"/>
              </w:rPr>
              <w:t>Ogni anno</w:t>
            </w:r>
          </w:p>
        </w:tc>
        <w:tc>
          <w:tcPr>
            <w:tcW w:w="3210" w:type="dxa"/>
          </w:tcPr>
          <w:p w14:paraId="14F298CD" w14:textId="77777777"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-Esami strumentali da eseguire su necessità clinica</w:t>
            </w:r>
          </w:p>
          <w:p w14:paraId="0A507B92" w14:textId="2181DBDB" w:rsidR="000A667F" w:rsidRPr="000A667F" w:rsidRDefault="000A667F" w:rsidP="000A667F">
            <w:pPr>
              <w:jc w:val="both"/>
              <w:rPr>
                <w:rFonts w:ascii="Times New Roman" w:hAnsi="Times New Roman" w:cs="Times New Roman"/>
                <w:b/>
                <w:szCs w:val="24"/>
              </w:rPr>
            </w:pPr>
            <w:r w:rsidRPr="000A667F">
              <w:rPr>
                <w:rFonts w:ascii="Times New Roman" w:hAnsi="Times New Roman" w:cs="Times New Roman"/>
                <w:b/>
                <w:szCs w:val="24"/>
              </w:rPr>
              <w:t>-</w:t>
            </w:r>
            <w:r w:rsidRPr="000A667F">
              <w:rPr>
                <w:rFonts w:ascii="Times New Roman" w:hAnsi="Times New Roman" w:cs="Times New Roman"/>
                <w:b/>
              </w:rPr>
              <w:t>Follow-up da effettuare presso ambulatori specialistici o presso MMG</w:t>
            </w:r>
          </w:p>
        </w:tc>
      </w:tr>
    </w:tbl>
    <w:p w14:paraId="1CC18A0E" w14:textId="528540A5" w:rsidR="00EC22A3" w:rsidRPr="008A7FBB" w:rsidRDefault="008A7FBB" w:rsidP="00955A9B">
      <w:pPr>
        <w:spacing w:line="240" w:lineRule="auto"/>
        <w:rPr>
          <w:rFonts w:ascii="Times New Roman" w:hAnsi="Times New Roman" w:cs="Times New Roman"/>
          <w:szCs w:val="24"/>
        </w:rPr>
      </w:pPr>
      <w:r>
        <w:rPr>
          <w:rFonts w:ascii="Times New Roman" w:hAnsi="Times New Roman" w:cs="Times New Roman"/>
          <w:szCs w:val="24"/>
        </w:rPr>
        <w:t>*Esami ematochimici: emocromo, azotemia, creatinina, glicemia, Na</w:t>
      </w:r>
      <w:r>
        <w:rPr>
          <w:rFonts w:ascii="Times New Roman" w:hAnsi="Times New Roman" w:cs="Times New Roman"/>
          <w:szCs w:val="24"/>
          <w:vertAlign w:val="superscript"/>
        </w:rPr>
        <w:t>+</w:t>
      </w:r>
      <w:r>
        <w:rPr>
          <w:rFonts w:ascii="Times New Roman" w:hAnsi="Times New Roman" w:cs="Times New Roman"/>
          <w:szCs w:val="24"/>
        </w:rPr>
        <w:t>, K</w:t>
      </w:r>
      <w:r>
        <w:rPr>
          <w:rFonts w:ascii="Times New Roman" w:hAnsi="Times New Roman" w:cs="Times New Roman"/>
          <w:szCs w:val="24"/>
          <w:vertAlign w:val="superscript"/>
        </w:rPr>
        <w:t>+</w:t>
      </w:r>
      <w:r>
        <w:rPr>
          <w:rFonts w:ascii="Times New Roman" w:hAnsi="Times New Roman" w:cs="Times New Roman"/>
          <w:szCs w:val="24"/>
        </w:rPr>
        <w:t>, Ca</w:t>
      </w:r>
      <w:r>
        <w:rPr>
          <w:rFonts w:ascii="Times New Roman" w:hAnsi="Times New Roman" w:cs="Times New Roman"/>
          <w:szCs w:val="24"/>
          <w:vertAlign w:val="superscript"/>
        </w:rPr>
        <w:t>2+</w:t>
      </w:r>
      <w:r>
        <w:rPr>
          <w:rFonts w:ascii="Times New Roman" w:hAnsi="Times New Roman" w:cs="Times New Roman"/>
          <w:szCs w:val="24"/>
        </w:rPr>
        <w:t xml:space="preserve">, QPE, AST, ALT, ALP, colesterolo totale, LDL e HDL, Vitamina B12, folati, sideremia, trasferrina e ferritina, CEA, Ca19.9, Ca125. </w:t>
      </w:r>
    </w:p>
    <w:p w14:paraId="73EB9B92" w14:textId="6F4E5A54" w:rsidR="00EC22A3" w:rsidRPr="00955A9B" w:rsidRDefault="00EC22A3"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Figura 2. Percorso in caso di recidiva durante follow-up per carcinoma gastrico</w:t>
      </w:r>
    </w:p>
    <w:p w14:paraId="140D837F" w14:textId="4FC06CFC" w:rsidR="0016191A" w:rsidRPr="00955A9B" w:rsidRDefault="00295A9E" w:rsidP="00955A9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t-IT"/>
        </w:rPr>
        <w:drawing>
          <wp:inline distT="0" distB="0" distL="0" distR="0" wp14:anchorId="25ED003C" wp14:editId="579A587E">
            <wp:extent cx="6120130" cy="6387465"/>
            <wp:effectExtent l="0" t="0" r="1270" b="635"/>
            <wp:docPr id="1195681522" name="Immagine 35" descr="Immagine che contiene testo, schermata, Carattere,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81522" name="Immagine 35" descr="Immagine che contiene testo, schermata, Carattere, documento&#10;&#10;Il contenuto generato dall'IA potrebbe non essere corretto."/>
                    <pic:cNvPicPr/>
                  </pic:nvPicPr>
                  <pic:blipFill>
                    <a:blip r:embed="rId13">
                      <a:extLst>
                        <a:ext uri="{28A0092B-C50C-407E-A947-70E740481C1C}">
                          <a14:useLocalDpi xmlns:a14="http://schemas.microsoft.com/office/drawing/2010/main" val="0"/>
                        </a:ext>
                      </a:extLst>
                    </a:blip>
                    <a:stretch>
                      <a:fillRect/>
                    </a:stretch>
                  </pic:blipFill>
                  <pic:spPr>
                    <a:xfrm>
                      <a:off x="0" y="0"/>
                      <a:ext cx="6120130" cy="6387465"/>
                    </a:xfrm>
                    <a:prstGeom prst="rect">
                      <a:avLst/>
                    </a:prstGeom>
                  </pic:spPr>
                </pic:pic>
              </a:graphicData>
            </a:graphic>
          </wp:inline>
        </w:drawing>
      </w:r>
    </w:p>
    <w:p w14:paraId="34C9EF89" w14:textId="77777777" w:rsidR="005A2B27" w:rsidRPr="005A2B27" w:rsidRDefault="005A2B27" w:rsidP="005A2B27">
      <w:pPr>
        <w:spacing w:line="360" w:lineRule="auto"/>
        <w:ind w:right="1000"/>
        <w:jc w:val="both"/>
        <w:rPr>
          <w:rFonts w:ascii="Times New Roman" w:eastAsiaTheme="minorEastAsia" w:hAnsi="Times New Roman" w:cs="Times New Roman"/>
          <w:b/>
          <w:bCs/>
          <w:sz w:val="24"/>
          <w:szCs w:val="24"/>
          <w:lang w:eastAsia="it-IT"/>
        </w:rPr>
      </w:pPr>
      <w:r w:rsidRPr="005A2B27">
        <w:rPr>
          <w:rFonts w:ascii="Times New Roman" w:eastAsiaTheme="minorEastAsia" w:hAnsi="Times New Roman" w:cs="Times New Roman"/>
          <w:b/>
          <w:bCs/>
          <w:sz w:val="24"/>
          <w:szCs w:val="24"/>
          <w:lang w:eastAsia="it-IT"/>
        </w:rPr>
        <w:t>CURE PALLIATIVE</w:t>
      </w:r>
    </w:p>
    <w:p w14:paraId="41F73535"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 xml:space="preserve">La attivazione dei percorsi di cure palliative non è riservata esclusivamente ai pazienti in fase di terminalità. Il sistema della ROC intende seguire il modello della simultaneous care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  </w:t>
      </w:r>
    </w:p>
    <w:p w14:paraId="615B567B"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14:paraId="27D7C103"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I criteri generali per la definizione di malattia terminale sono:</w:t>
      </w:r>
    </w:p>
    <w:p w14:paraId="1B1450AE"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w:t>
      </w:r>
      <w:r w:rsidRPr="005A2B27">
        <w:rPr>
          <w:rFonts w:ascii="Times New Roman" w:eastAsiaTheme="minorEastAsia" w:hAnsi="Times New Roman" w:cs="Times New Roman"/>
          <w:bCs/>
          <w:sz w:val="24"/>
          <w:szCs w:val="24"/>
          <w:lang w:eastAsia="it-IT"/>
        </w:rPr>
        <w:tab/>
        <w:t>Terapeutico: esaurimento/assenza o inutilità delle terapie oncologiche per la cura del tumore, o rifiuto da parte del malato.</w:t>
      </w:r>
    </w:p>
    <w:p w14:paraId="7567ECB6"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w:t>
      </w:r>
      <w:r w:rsidRPr="005A2B27">
        <w:rPr>
          <w:rFonts w:ascii="Times New Roman" w:eastAsiaTheme="minorEastAsia" w:hAnsi="Times New Roman" w:cs="Times New Roman"/>
          <w:bCs/>
          <w:sz w:val="24"/>
          <w:szCs w:val="24"/>
          <w:lang w:eastAsia="it-IT"/>
        </w:rPr>
        <w:tab/>
        <w:t>Clinico: presenza di un quadro clinico che comporta limitazioni dell’autonomia e un frequente bisogno di cure mediche, caratterizzato da un Indice di Karnofsky &lt; 50.</w:t>
      </w:r>
    </w:p>
    <w:p w14:paraId="2EF10997"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w:t>
      </w:r>
      <w:r w:rsidRPr="005A2B27">
        <w:rPr>
          <w:rFonts w:ascii="Times New Roman" w:eastAsiaTheme="minorEastAsia" w:hAnsi="Times New Roman" w:cs="Times New Roman"/>
          <w:bCs/>
          <w:sz w:val="24"/>
          <w:szCs w:val="24"/>
          <w:lang w:eastAsia="it-IT"/>
        </w:rPr>
        <w:tab/>
        <w:t>Prognostico: previsione di sopravvivenza &lt; 6 mesi</w:t>
      </w:r>
    </w:p>
    <w:p w14:paraId="7009A8EA"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p>
    <w:p w14:paraId="3DA208A7"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14:paraId="0C32BB06"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p>
    <w:p w14:paraId="113D8C2E" w14:textId="77777777" w:rsidR="005A2B27" w:rsidRPr="005A2B27" w:rsidRDefault="005A2B27" w:rsidP="005A2B27">
      <w:pPr>
        <w:spacing w:line="360" w:lineRule="auto"/>
        <w:ind w:right="1000"/>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 xml:space="preserve">Per il presente PDTA si è tenuto conto delle più recenti linee guida nazionali (AIOM) ed </w:t>
      </w:r>
    </w:p>
    <w:p w14:paraId="7817116E" w14:textId="013780A1" w:rsidR="003943FF" w:rsidRPr="005A2B27" w:rsidRDefault="005A2B27" w:rsidP="005A2B27">
      <w:pPr>
        <w:spacing w:line="360" w:lineRule="auto"/>
        <w:ind w:right="1000"/>
        <w:jc w:val="both"/>
        <w:rPr>
          <w:rFonts w:ascii="Times New Roman" w:eastAsia="Times New Roman" w:hAnsi="Times New Roman" w:cs="Times New Roman"/>
          <w:sz w:val="24"/>
          <w:szCs w:val="24"/>
        </w:rPr>
      </w:pPr>
      <w:r w:rsidRPr="005A2B27">
        <w:rPr>
          <w:rFonts w:ascii="Times New Roman" w:eastAsiaTheme="minorEastAsia" w:hAnsi="Times New Roman" w:cs="Times New Roman"/>
          <w:bCs/>
          <w:sz w:val="24"/>
          <w:szCs w:val="24"/>
          <w:lang w:eastAsia="it-IT"/>
        </w:rPr>
        <w:t>Internazionali (ESMO, NCCN).</w:t>
      </w:r>
    </w:p>
    <w:p w14:paraId="34571B11" w14:textId="77777777" w:rsidR="000A667F" w:rsidRDefault="000A667F" w:rsidP="003943FF">
      <w:pPr>
        <w:spacing w:line="360" w:lineRule="auto"/>
        <w:jc w:val="both"/>
        <w:rPr>
          <w:rFonts w:ascii="Times New Roman" w:eastAsia="Times New Roman" w:hAnsi="Times New Roman" w:cs="Times New Roman"/>
          <w:b/>
          <w:sz w:val="24"/>
          <w:szCs w:val="24"/>
        </w:rPr>
      </w:pPr>
    </w:p>
    <w:p w14:paraId="7EE9A48A" w14:textId="77777777" w:rsidR="000A667F" w:rsidRDefault="000A667F" w:rsidP="003943FF">
      <w:pPr>
        <w:spacing w:line="360" w:lineRule="auto"/>
        <w:jc w:val="both"/>
        <w:rPr>
          <w:rFonts w:ascii="Times New Roman" w:eastAsia="Times New Roman" w:hAnsi="Times New Roman" w:cs="Times New Roman"/>
          <w:b/>
          <w:sz w:val="24"/>
          <w:szCs w:val="24"/>
        </w:rPr>
      </w:pPr>
    </w:p>
    <w:p w14:paraId="480E7F95" w14:textId="27A4F8CD" w:rsidR="003943FF" w:rsidRPr="00955A9B" w:rsidRDefault="003943FF" w:rsidP="003943FF">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Tempi di presa in carico</w:t>
      </w:r>
    </w:p>
    <w:p w14:paraId="6F4153E3" w14:textId="0B64F3E2" w:rsidR="003943FF" w:rsidRPr="00955A9B" w:rsidRDefault="003943FF" w:rsidP="003943FF">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Il primo accesso al GOM per tumore </w:t>
      </w:r>
      <w:r>
        <w:rPr>
          <w:rFonts w:ascii="Times New Roman" w:eastAsia="Times New Roman" w:hAnsi="Times New Roman" w:cs="Times New Roman"/>
          <w:sz w:val="24"/>
          <w:szCs w:val="24"/>
        </w:rPr>
        <w:t>dello stomaco</w:t>
      </w:r>
      <w:r w:rsidRPr="00955A9B">
        <w:rPr>
          <w:rFonts w:ascii="Times New Roman" w:eastAsia="Times New Roman" w:hAnsi="Times New Roman" w:cs="Times New Roman"/>
          <w:sz w:val="24"/>
          <w:szCs w:val="24"/>
        </w:rPr>
        <w:t xml:space="preserve"> avverrà tramite prenotazione effettuata dal MMG o altro medico specialista attraverso il sistema informatico della Rete Oncologica Campana</w:t>
      </w:r>
    </w:p>
    <w:p w14:paraId="383C26B9" w14:textId="77777777" w:rsidR="003943FF" w:rsidRPr="00955A9B" w:rsidRDefault="003943FF" w:rsidP="003943FF">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La prima visita da parte del GOM che prende in carico il paziente sarà erogata </w:t>
      </w:r>
      <w:r w:rsidRPr="00955A9B">
        <w:rPr>
          <w:rFonts w:ascii="Times New Roman" w:eastAsia="Times New Roman" w:hAnsi="Times New Roman" w:cs="Times New Roman"/>
          <w:b/>
          <w:sz w:val="24"/>
          <w:szCs w:val="24"/>
        </w:rPr>
        <w:t>entro 10 giorni</w:t>
      </w:r>
      <w:r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b/>
          <w:sz w:val="24"/>
          <w:szCs w:val="24"/>
        </w:rPr>
        <w:t>lavorativi</w:t>
      </w:r>
      <w:r w:rsidRPr="00955A9B">
        <w:rPr>
          <w:rFonts w:ascii="Times New Roman" w:eastAsia="Times New Roman" w:hAnsi="Times New Roman" w:cs="Times New Roman"/>
          <w:sz w:val="24"/>
          <w:szCs w:val="24"/>
        </w:rPr>
        <w:t>.</w:t>
      </w:r>
    </w:p>
    <w:p w14:paraId="76A65966" w14:textId="77777777" w:rsidR="003943FF" w:rsidRPr="00955A9B" w:rsidRDefault="003943FF" w:rsidP="003943FF">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Il GOM si riunirà per la discussione dei casi clinici </w:t>
      </w:r>
      <w:r w:rsidRPr="00955A9B">
        <w:rPr>
          <w:rFonts w:ascii="Times New Roman" w:eastAsia="Times New Roman" w:hAnsi="Times New Roman" w:cs="Times New Roman"/>
          <w:b/>
          <w:sz w:val="24"/>
          <w:szCs w:val="24"/>
        </w:rPr>
        <w:t>almeno una volta a settimana</w:t>
      </w:r>
    </w:p>
    <w:p w14:paraId="66C0A838" w14:textId="4393B76A" w:rsidR="003943FF" w:rsidRPr="00955A9B" w:rsidRDefault="003943FF" w:rsidP="003943FF">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b/>
          <w:sz w:val="24"/>
          <w:szCs w:val="24"/>
        </w:rPr>
        <w:t xml:space="preserve">Entro ulteriori 15 giorni </w:t>
      </w:r>
      <w:r w:rsidRPr="00955A9B">
        <w:rPr>
          <w:rFonts w:ascii="Times New Roman" w:eastAsia="Times New Roman" w:hAnsi="Times New Roman" w:cs="Times New Roman"/>
          <w:sz w:val="24"/>
          <w:szCs w:val="24"/>
        </w:rPr>
        <w:t>dalla prima visita dovrà essere completata la stadiazione strumentale</w:t>
      </w:r>
      <w:r w:rsidRPr="00955A9B">
        <w:rPr>
          <w:rFonts w:ascii="Times New Roman" w:eastAsia="Times New Roman" w:hAnsi="Times New Roman" w:cs="Times New Roman"/>
          <w:b/>
          <w:sz w:val="24"/>
          <w:szCs w:val="24"/>
        </w:rPr>
        <w:t xml:space="preserve"> </w:t>
      </w:r>
      <w:r w:rsidRPr="00955A9B">
        <w:rPr>
          <w:rFonts w:ascii="Times New Roman" w:eastAsia="Times New Roman" w:hAnsi="Times New Roman" w:cs="Times New Roman"/>
          <w:sz w:val="24"/>
          <w:szCs w:val="24"/>
        </w:rPr>
        <w:t>del tumore, almeno per quanto attiene la prima TC stadiativa, qualora non già disponibile al momento della prima visita.</w:t>
      </w:r>
    </w:p>
    <w:p w14:paraId="08026A74" w14:textId="77777777" w:rsidR="003943FF" w:rsidRPr="00955A9B" w:rsidRDefault="003943FF" w:rsidP="003943FF">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Qualora una diagnosi di certezza istologica non fosse stata eseguita prima della Presa in Carico da parte del GOM, l’intervento chirurgico laddove indicato sarà effettuato </w:t>
      </w:r>
      <w:r w:rsidRPr="00955A9B">
        <w:rPr>
          <w:rFonts w:ascii="Times New Roman" w:eastAsia="Times New Roman" w:hAnsi="Times New Roman" w:cs="Times New Roman"/>
          <w:b/>
          <w:sz w:val="24"/>
          <w:szCs w:val="24"/>
        </w:rPr>
        <w:t>entro i 30 giorni successivi</w:t>
      </w:r>
      <w:r w:rsidRPr="00955A9B">
        <w:rPr>
          <w:rFonts w:ascii="Times New Roman" w:eastAsia="Times New Roman" w:hAnsi="Times New Roman" w:cs="Times New Roman"/>
          <w:sz w:val="24"/>
          <w:szCs w:val="24"/>
        </w:rPr>
        <w:t xml:space="preserve"> alla visita multidisciplinare che ne avrà posto l’indicazione.</w:t>
      </w:r>
    </w:p>
    <w:p w14:paraId="5FBA8C27" w14:textId="77777777" w:rsidR="003943FF" w:rsidRPr="00955A9B" w:rsidRDefault="003943FF" w:rsidP="003943FF">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Il referto istologico dovrà essere disponibile </w:t>
      </w:r>
      <w:r w:rsidRPr="00955A9B">
        <w:rPr>
          <w:rFonts w:ascii="Times New Roman" w:eastAsia="Times New Roman" w:hAnsi="Times New Roman" w:cs="Times New Roman"/>
          <w:b/>
          <w:sz w:val="24"/>
          <w:szCs w:val="24"/>
        </w:rPr>
        <w:t>entro 15 giorni dalle procedure bioptiche o</w:t>
      </w:r>
      <w:r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b/>
          <w:sz w:val="24"/>
          <w:szCs w:val="24"/>
        </w:rPr>
        <w:t>dall’intervento chirurgico.</w:t>
      </w:r>
    </w:p>
    <w:p w14:paraId="129F8DDC" w14:textId="77777777" w:rsidR="003943FF" w:rsidRPr="00955A9B" w:rsidRDefault="003943FF" w:rsidP="003943FF">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Il </w:t>
      </w:r>
      <w:r w:rsidRPr="00955A9B">
        <w:rPr>
          <w:rFonts w:ascii="Times New Roman" w:eastAsia="Times New Roman" w:hAnsi="Times New Roman" w:cs="Times New Roman"/>
          <w:i/>
          <w:sz w:val="24"/>
          <w:szCs w:val="24"/>
        </w:rPr>
        <w:t>Case Manager</w:t>
      </w:r>
      <w:r w:rsidRPr="00955A9B">
        <w:rPr>
          <w:rFonts w:ascii="Times New Roman" w:eastAsia="Times New Roman" w:hAnsi="Times New Roman" w:cs="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14:paraId="0E11F4A9" w14:textId="77777777" w:rsidR="003943FF" w:rsidRPr="00955A9B" w:rsidRDefault="003943FF" w:rsidP="003943FF">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Se la procedura diagnostica è condotta internamente al CORPUS, sarà cura del </w:t>
      </w:r>
      <w:r w:rsidRPr="00955A9B">
        <w:rPr>
          <w:rFonts w:ascii="Times New Roman" w:eastAsia="Times New Roman" w:hAnsi="Times New Roman" w:cs="Times New Roman"/>
          <w:i/>
          <w:sz w:val="24"/>
          <w:szCs w:val="24"/>
        </w:rPr>
        <w:t>Case Manager</w:t>
      </w:r>
      <w:r w:rsidRPr="00955A9B">
        <w:rPr>
          <w:rFonts w:ascii="Times New Roman" w:eastAsia="Times New Roman" w:hAnsi="Times New Roman" w:cs="Times New Roman"/>
          <w:sz w:val="24"/>
          <w:szCs w:val="24"/>
        </w:rPr>
        <w:t xml:space="preserve"> recuperare il referto e prenotare </w:t>
      </w:r>
      <w:r w:rsidRPr="00955A9B">
        <w:rPr>
          <w:rFonts w:ascii="Times New Roman" w:eastAsia="Times New Roman" w:hAnsi="Times New Roman" w:cs="Times New Roman"/>
          <w:b/>
          <w:sz w:val="24"/>
          <w:szCs w:val="24"/>
        </w:rPr>
        <w:t>entro 7 giorni</w:t>
      </w:r>
      <w:r w:rsidRPr="00955A9B">
        <w:rPr>
          <w:rFonts w:ascii="Times New Roman" w:eastAsia="Times New Roman" w:hAnsi="Times New Roman" w:cs="Times New Roman"/>
          <w:sz w:val="24"/>
          <w:szCs w:val="24"/>
        </w:rPr>
        <w:t xml:space="preserve"> dalla disponibilità del referto una nuova visita.</w:t>
      </w:r>
    </w:p>
    <w:p w14:paraId="61E3B2A9" w14:textId="77777777" w:rsidR="003943FF" w:rsidRPr="00955A9B" w:rsidRDefault="003943FF" w:rsidP="003943FF">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Al completamento della fase diagnostico-stadiativa il GOM definirà e programmerà il prosieguo del percorso clinico; se ritenuto opportuno il CORP/CORPUS farà riferimento alla Rete Oncologica per una </w:t>
      </w:r>
      <w:r w:rsidRPr="00955A9B">
        <w:rPr>
          <w:rFonts w:ascii="Times New Roman" w:eastAsia="Times New Roman" w:hAnsi="Times New Roman" w:cs="Times New Roman"/>
          <w:i/>
          <w:sz w:val="24"/>
          <w:szCs w:val="24"/>
        </w:rPr>
        <w:t>second opinion.</w:t>
      </w:r>
    </w:p>
    <w:p w14:paraId="7749F13B" w14:textId="77777777" w:rsidR="003943FF" w:rsidRPr="00955A9B" w:rsidRDefault="003943FF" w:rsidP="003943FF">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L’inizio di un’eventuale chemioterapia o altra terapia sistemica prevista dovrà avvenire </w:t>
      </w:r>
      <w:r w:rsidRPr="00955A9B">
        <w:rPr>
          <w:rFonts w:ascii="Times New Roman" w:eastAsia="Times New Roman" w:hAnsi="Times New Roman" w:cs="Times New Roman"/>
          <w:b/>
          <w:sz w:val="24"/>
          <w:szCs w:val="24"/>
        </w:rPr>
        <w:t>entro</w:t>
      </w:r>
      <w:r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b/>
          <w:sz w:val="24"/>
          <w:szCs w:val="24"/>
        </w:rPr>
        <w:t>21 giorni dalla prima valutazione (ed entro 60 giorni dall’eventuale intervento chirurgico, attesi i tempi di recupero del paziente e le eventuali complicanze)</w:t>
      </w:r>
    </w:p>
    <w:p w14:paraId="19AFEE32" w14:textId="77777777" w:rsidR="00512114" w:rsidRPr="00955A9B" w:rsidRDefault="00512114" w:rsidP="00955A9B">
      <w:pPr>
        <w:spacing w:line="360" w:lineRule="auto"/>
        <w:jc w:val="both"/>
        <w:rPr>
          <w:rFonts w:ascii="Times New Roman" w:eastAsia="Times New Roman" w:hAnsi="Times New Roman" w:cs="Times New Roman"/>
          <w:sz w:val="24"/>
          <w:szCs w:val="24"/>
        </w:rPr>
      </w:pPr>
    </w:p>
    <w:p w14:paraId="0D51C098" w14:textId="3C302089" w:rsidR="00512114" w:rsidRPr="00955A9B" w:rsidRDefault="00512114" w:rsidP="00955A9B">
      <w:pPr>
        <w:spacing w:line="360" w:lineRule="auto"/>
        <w:jc w:val="both"/>
        <w:rPr>
          <w:rFonts w:ascii="Times New Roman" w:eastAsia="Times New Roman" w:hAnsi="Times New Roman" w:cs="Times New Roman"/>
          <w:sz w:val="24"/>
          <w:szCs w:val="24"/>
        </w:rPr>
      </w:pPr>
    </w:p>
    <w:p w14:paraId="1D5D0249" w14:textId="7736AC29" w:rsidR="00583890" w:rsidRPr="00955A9B" w:rsidRDefault="00583890" w:rsidP="00955A9B">
      <w:pPr>
        <w:spacing w:line="360" w:lineRule="auto"/>
        <w:jc w:val="both"/>
        <w:rPr>
          <w:rFonts w:ascii="Times New Roman" w:eastAsia="Times New Roman" w:hAnsi="Times New Roman" w:cs="Times New Roman"/>
          <w:sz w:val="24"/>
          <w:szCs w:val="24"/>
        </w:rPr>
      </w:pPr>
    </w:p>
    <w:p w14:paraId="077796E9" w14:textId="7AFE4E15" w:rsidR="00955A9B" w:rsidRPr="00955A9B" w:rsidRDefault="00955A9B" w:rsidP="00955A9B">
      <w:pPr>
        <w:spacing w:line="360" w:lineRule="auto"/>
        <w:jc w:val="both"/>
        <w:rPr>
          <w:rFonts w:ascii="Times New Roman" w:eastAsia="Times New Roman" w:hAnsi="Times New Roman" w:cs="Times New Roman"/>
          <w:sz w:val="24"/>
          <w:szCs w:val="24"/>
        </w:rPr>
      </w:pPr>
    </w:p>
    <w:p w14:paraId="090674DE" w14:textId="50A6BF7D" w:rsidR="00955A9B" w:rsidRPr="00955A9B" w:rsidRDefault="00955A9B" w:rsidP="00955A9B">
      <w:pPr>
        <w:spacing w:line="360" w:lineRule="auto"/>
        <w:jc w:val="both"/>
        <w:rPr>
          <w:rFonts w:ascii="Times New Roman" w:eastAsia="Times New Roman" w:hAnsi="Times New Roman" w:cs="Times New Roman"/>
          <w:sz w:val="24"/>
          <w:szCs w:val="24"/>
        </w:rPr>
      </w:pPr>
    </w:p>
    <w:p w14:paraId="280CFBC6" w14:textId="35BF8059" w:rsidR="00955A9B" w:rsidRPr="00955A9B" w:rsidRDefault="00955A9B" w:rsidP="00955A9B">
      <w:pPr>
        <w:spacing w:line="360" w:lineRule="auto"/>
        <w:jc w:val="both"/>
        <w:rPr>
          <w:rFonts w:ascii="Times New Roman" w:eastAsia="Times New Roman" w:hAnsi="Times New Roman" w:cs="Times New Roman"/>
          <w:sz w:val="24"/>
          <w:szCs w:val="24"/>
        </w:rPr>
      </w:pPr>
    </w:p>
    <w:p w14:paraId="7E4F3306" w14:textId="77777777" w:rsidR="00955A9B" w:rsidRPr="00955A9B" w:rsidRDefault="00955A9B" w:rsidP="00955A9B">
      <w:pPr>
        <w:spacing w:line="360" w:lineRule="auto"/>
        <w:jc w:val="both"/>
        <w:rPr>
          <w:rFonts w:ascii="Times New Roman" w:hAnsi="Times New Roman" w:cs="Times New Roman"/>
          <w:sz w:val="24"/>
          <w:szCs w:val="24"/>
        </w:rPr>
      </w:pPr>
    </w:p>
    <w:p w14:paraId="3F657BD8" w14:textId="77777777" w:rsidR="00955A9B" w:rsidRPr="00955A9B" w:rsidRDefault="00955A9B" w:rsidP="00955A9B">
      <w:pPr>
        <w:spacing w:line="360" w:lineRule="auto"/>
        <w:jc w:val="both"/>
        <w:rPr>
          <w:rFonts w:ascii="Times New Roman" w:hAnsi="Times New Roman" w:cs="Times New Roman"/>
          <w:sz w:val="24"/>
          <w:szCs w:val="24"/>
        </w:rPr>
      </w:pPr>
    </w:p>
    <w:p w14:paraId="334CE151" w14:textId="77777777" w:rsidR="00955A9B" w:rsidRPr="00955A9B" w:rsidRDefault="00955A9B" w:rsidP="00955A9B">
      <w:pPr>
        <w:spacing w:line="360" w:lineRule="auto"/>
        <w:jc w:val="both"/>
        <w:rPr>
          <w:rFonts w:ascii="Times New Roman" w:hAnsi="Times New Roman" w:cs="Times New Roman"/>
          <w:sz w:val="24"/>
          <w:szCs w:val="24"/>
        </w:rPr>
      </w:pPr>
    </w:p>
    <w:p w14:paraId="276C9DB8" w14:textId="77777777" w:rsidR="00955A9B" w:rsidRPr="00955A9B" w:rsidRDefault="00955A9B" w:rsidP="00955A9B">
      <w:pPr>
        <w:spacing w:line="360" w:lineRule="auto"/>
        <w:jc w:val="both"/>
        <w:rPr>
          <w:rFonts w:ascii="Times New Roman" w:hAnsi="Times New Roman" w:cs="Times New Roman"/>
          <w:sz w:val="24"/>
          <w:szCs w:val="24"/>
        </w:rPr>
      </w:pPr>
    </w:p>
    <w:p w14:paraId="0CEB65A7" w14:textId="77777777" w:rsidR="00955A9B" w:rsidRPr="00955A9B" w:rsidRDefault="00955A9B" w:rsidP="00955A9B">
      <w:pPr>
        <w:spacing w:line="360" w:lineRule="auto"/>
        <w:jc w:val="both"/>
        <w:rPr>
          <w:rFonts w:ascii="Times New Roman" w:hAnsi="Times New Roman" w:cs="Times New Roman"/>
          <w:sz w:val="24"/>
          <w:szCs w:val="24"/>
        </w:rPr>
      </w:pPr>
    </w:p>
    <w:p w14:paraId="3DA767EC" w14:textId="77777777" w:rsidR="00955A9B" w:rsidRPr="00955A9B" w:rsidRDefault="00955A9B" w:rsidP="00955A9B">
      <w:pPr>
        <w:spacing w:line="360" w:lineRule="auto"/>
        <w:jc w:val="both"/>
        <w:rPr>
          <w:rFonts w:ascii="Times New Roman" w:hAnsi="Times New Roman" w:cs="Times New Roman"/>
          <w:sz w:val="24"/>
          <w:szCs w:val="24"/>
        </w:rPr>
      </w:pPr>
    </w:p>
    <w:p w14:paraId="5A4AA1AC" w14:textId="77777777" w:rsidR="00955A9B" w:rsidRPr="00955A9B" w:rsidRDefault="00955A9B" w:rsidP="00955A9B">
      <w:pPr>
        <w:spacing w:line="360" w:lineRule="auto"/>
        <w:jc w:val="both"/>
        <w:rPr>
          <w:rFonts w:ascii="Times New Roman" w:hAnsi="Times New Roman" w:cs="Times New Roman"/>
          <w:sz w:val="24"/>
          <w:szCs w:val="24"/>
        </w:rPr>
      </w:pPr>
    </w:p>
    <w:p w14:paraId="7C29349F" w14:textId="77777777" w:rsidR="00955A9B" w:rsidRPr="00955A9B" w:rsidRDefault="00955A9B" w:rsidP="00955A9B">
      <w:pPr>
        <w:spacing w:line="360" w:lineRule="auto"/>
        <w:jc w:val="center"/>
        <w:rPr>
          <w:rFonts w:ascii="Times New Roman" w:hAnsi="Times New Roman" w:cs="Times New Roman"/>
          <w:noProof/>
          <w:sz w:val="36"/>
          <w:szCs w:val="24"/>
        </w:rPr>
      </w:pPr>
      <w:r w:rsidRPr="00955A9B">
        <w:rPr>
          <w:rFonts w:ascii="Times New Roman" w:eastAsia="Times New Roman" w:hAnsi="Times New Roman" w:cs="Times New Roman"/>
          <w:b/>
          <w:sz w:val="36"/>
          <w:szCs w:val="24"/>
        </w:rPr>
        <w:t>Il Percorso Diagnostico Terapeutico Assistenziale (PDTA) per il Carcinoma dell’Esofago</w:t>
      </w:r>
    </w:p>
    <w:p w14:paraId="53D4C29A" w14:textId="77777777" w:rsidR="00955A9B" w:rsidRPr="00955A9B" w:rsidRDefault="00955A9B" w:rsidP="00955A9B">
      <w:pPr>
        <w:spacing w:line="360" w:lineRule="auto"/>
        <w:jc w:val="center"/>
        <w:rPr>
          <w:rFonts w:ascii="Times New Roman" w:hAnsi="Times New Roman" w:cs="Times New Roman"/>
          <w:b/>
          <w:bCs/>
          <w:sz w:val="36"/>
          <w:szCs w:val="24"/>
        </w:rPr>
      </w:pPr>
    </w:p>
    <w:p w14:paraId="243A7E1D" w14:textId="2421E7ED" w:rsidR="00955A9B" w:rsidRPr="00955A9B" w:rsidRDefault="000A667F" w:rsidP="00955A9B">
      <w:pPr>
        <w:spacing w:line="360" w:lineRule="auto"/>
        <w:jc w:val="center"/>
        <w:rPr>
          <w:rFonts w:ascii="Times New Roman" w:hAnsi="Times New Roman" w:cs="Times New Roman"/>
          <w:b/>
          <w:bCs/>
          <w:sz w:val="36"/>
          <w:szCs w:val="24"/>
        </w:rPr>
      </w:pPr>
      <w:r>
        <w:rPr>
          <w:rFonts w:ascii="Times New Roman" w:hAnsi="Times New Roman" w:cs="Times New Roman"/>
          <w:b/>
          <w:bCs/>
          <w:sz w:val="36"/>
          <w:szCs w:val="24"/>
        </w:rPr>
        <w:t>Edizione</w:t>
      </w:r>
      <w:r w:rsidR="00955A9B" w:rsidRPr="00955A9B">
        <w:rPr>
          <w:rFonts w:ascii="Times New Roman" w:hAnsi="Times New Roman" w:cs="Times New Roman"/>
          <w:b/>
          <w:bCs/>
          <w:sz w:val="36"/>
          <w:szCs w:val="24"/>
        </w:rPr>
        <w:t xml:space="preserve"> 202</w:t>
      </w:r>
      <w:r w:rsidR="00963C05">
        <w:rPr>
          <w:rFonts w:ascii="Times New Roman" w:hAnsi="Times New Roman" w:cs="Times New Roman"/>
          <w:b/>
          <w:bCs/>
          <w:sz w:val="36"/>
          <w:szCs w:val="24"/>
        </w:rPr>
        <w:t>5</w:t>
      </w:r>
    </w:p>
    <w:p w14:paraId="4958604D" w14:textId="487E7B35" w:rsidR="00955A9B" w:rsidRDefault="00955A9B" w:rsidP="00955A9B">
      <w:pPr>
        <w:spacing w:line="360" w:lineRule="auto"/>
        <w:jc w:val="both"/>
        <w:rPr>
          <w:rFonts w:ascii="Times New Roman" w:hAnsi="Times New Roman" w:cs="Times New Roman"/>
          <w:b/>
          <w:bCs/>
          <w:sz w:val="24"/>
          <w:szCs w:val="24"/>
        </w:rPr>
      </w:pPr>
    </w:p>
    <w:p w14:paraId="0B392955" w14:textId="77777777" w:rsidR="00955A9B" w:rsidRPr="00955A9B" w:rsidRDefault="00955A9B" w:rsidP="00955A9B">
      <w:pPr>
        <w:spacing w:line="360" w:lineRule="auto"/>
        <w:jc w:val="both"/>
        <w:rPr>
          <w:rFonts w:ascii="Times New Roman" w:hAnsi="Times New Roman" w:cs="Times New Roman"/>
          <w:b/>
          <w:bCs/>
          <w:sz w:val="24"/>
          <w:szCs w:val="24"/>
        </w:rPr>
      </w:pPr>
    </w:p>
    <w:p w14:paraId="1493F240"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noProof/>
          <w:sz w:val="24"/>
          <w:szCs w:val="24"/>
          <w:lang w:eastAsia="it-IT"/>
        </w:rPr>
        <w:drawing>
          <wp:anchor distT="0" distB="0" distL="114300" distR="114300" simplePos="0" relativeHeight="251724800" behindDoc="1" locked="0" layoutInCell="1" allowOverlap="1" wp14:anchorId="61740671" wp14:editId="3B27FE3C">
            <wp:simplePos x="0" y="0"/>
            <wp:positionH relativeFrom="margin">
              <wp:align>right</wp:align>
            </wp:positionH>
            <wp:positionV relativeFrom="paragraph">
              <wp:posOffset>145415</wp:posOffset>
            </wp:positionV>
            <wp:extent cx="6120130" cy="1132205"/>
            <wp:effectExtent l="0" t="0" r="0" b="0"/>
            <wp:wrapNone/>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132205"/>
                    </a:xfrm>
                    <a:prstGeom prst="rect">
                      <a:avLst/>
                    </a:prstGeom>
                    <a:noFill/>
                  </pic:spPr>
                </pic:pic>
              </a:graphicData>
            </a:graphic>
          </wp:anchor>
        </w:drawing>
      </w:r>
    </w:p>
    <w:p w14:paraId="0AC138DA" w14:textId="77777777" w:rsidR="00955A9B" w:rsidRPr="00955A9B" w:rsidRDefault="00955A9B" w:rsidP="00955A9B">
      <w:pPr>
        <w:spacing w:line="360" w:lineRule="auto"/>
        <w:jc w:val="both"/>
        <w:rPr>
          <w:rFonts w:ascii="Times New Roman" w:hAnsi="Times New Roman" w:cs="Times New Roman"/>
          <w:sz w:val="24"/>
          <w:szCs w:val="24"/>
        </w:rPr>
      </w:pPr>
    </w:p>
    <w:p w14:paraId="31AEAE21" w14:textId="77777777" w:rsidR="00955A9B" w:rsidRPr="00955A9B" w:rsidRDefault="00955A9B" w:rsidP="00955A9B">
      <w:pPr>
        <w:spacing w:line="360" w:lineRule="auto"/>
        <w:jc w:val="both"/>
        <w:rPr>
          <w:rFonts w:ascii="Times New Roman" w:hAnsi="Times New Roman" w:cs="Times New Roman"/>
          <w:sz w:val="24"/>
          <w:szCs w:val="24"/>
        </w:rPr>
      </w:pPr>
    </w:p>
    <w:p w14:paraId="155B04E7"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eastAsia="Yu Mincho" w:hAnsi="Times New Roman" w:cs="Times New Roman"/>
          <w:noProof/>
          <w:sz w:val="24"/>
          <w:szCs w:val="24"/>
          <w:lang w:eastAsia="it-IT"/>
        </w:rPr>
        <w:drawing>
          <wp:inline distT="0" distB="0" distL="0" distR="0" wp14:anchorId="085124D5" wp14:editId="2BFEBB79">
            <wp:extent cx="1152525" cy="638175"/>
            <wp:effectExtent l="0" t="0" r="9525" b="952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p w14:paraId="18599407" w14:textId="77777777" w:rsidR="000A667F" w:rsidRDefault="000A667F" w:rsidP="000A667F">
      <w:pPr>
        <w:spacing w:line="360" w:lineRule="auto"/>
        <w:ind w:right="40"/>
        <w:jc w:val="both"/>
        <w:rPr>
          <w:rFonts w:ascii="Times New Roman" w:hAnsi="Times New Roman" w:cs="Times New Roman"/>
          <w:sz w:val="24"/>
          <w:szCs w:val="24"/>
        </w:rPr>
      </w:pPr>
    </w:p>
    <w:p w14:paraId="029DED68" w14:textId="77777777" w:rsidR="00256856" w:rsidRDefault="00256856" w:rsidP="000A667F">
      <w:pPr>
        <w:spacing w:line="360" w:lineRule="auto"/>
        <w:ind w:right="40"/>
        <w:jc w:val="both"/>
        <w:rPr>
          <w:rFonts w:ascii="Times New Roman" w:hAnsi="Times New Roman" w:cs="Times New Roman"/>
          <w:sz w:val="24"/>
          <w:szCs w:val="24"/>
        </w:rPr>
      </w:pPr>
    </w:p>
    <w:p w14:paraId="411645E3" w14:textId="77777777" w:rsidR="00256856" w:rsidRDefault="00256856" w:rsidP="000A667F">
      <w:pPr>
        <w:spacing w:line="360" w:lineRule="auto"/>
        <w:ind w:right="40"/>
        <w:jc w:val="both"/>
        <w:rPr>
          <w:rFonts w:ascii="Times New Roman" w:hAnsi="Times New Roman" w:cs="Times New Roman"/>
          <w:sz w:val="24"/>
          <w:szCs w:val="24"/>
        </w:rPr>
      </w:pPr>
    </w:p>
    <w:p w14:paraId="419F96FB" w14:textId="4D6E37A5" w:rsidR="00955A9B" w:rsidRPr="00955A9B" w:rsidRDefault="00836B7B" w:rsidP="000A667F">
      <w:pPr>
        <w:spacing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tabella 9</w:t>
      </w:r>
      <w:r w:rsidR="00955A9B" w:rsidRPr="00955A9B">
        <w:rPr>
          <w:rFonts w:ascii="Times New Roman" w:eastAsia="Times New Roman" w:hAnsi="Times New Roman" w:cs="Times New Roman"/>
          <w:sz w:val="24"/>
          <w:szCs w:val="24"/>
        </w:rPr>
        <w:t xml:space="preserve"> sono riportate le figure professionali ed Unità Operative Complesse (UOC) o Semplici (UO) deputate all’accoglienza, Presa in Carico ed Assistenza nell’ambito del </w:t>
      </w:r>
      <w:r w:rsidR="00955A9B" w:rsidRPr="00955A9B">
        <w:rPr>
          <w:rFonts w:ascii="Times New Roman" w:eastAsia="Times New Roman" w:hAnsi="Times New Roman" w:cs="Times New Roman"/>
          <w:b/>
          <w:sz w:val="24"/>
          <w:szCs w:val="24"/>
        </w:rPr>
        <w:t>GOM</w:t>
      </w:r>
      <w:r w:rsidR="00955A9B" w:rsidRPr="00955A9B">
        <w:rPr>
          <w:rFonts w:ascii="Times New Roman" w:eastAsia="Times New Roman" w:hAnsi="Times New Roman" w:cs="Times New Roman"/>
          <w:sz w:val="24"/>
          <w:szCs w:val="24"/>
        </w:rPr>
        <w:t xml:space="preserve"> esofago.</w:t>
      </w:r>
    </w:p>
    <w:tbl>
      <w:tblPr>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00"/>
        <w:gridCol w:w="3506"/>
        <w:gridCol w:w="3816"/>
      </w:tblGrid>
      <w:tr w:rsidR="00955A9B" w:rsidRPr="00955A9B" w14:paraId="65E14832" w14:textId="77777777" w:rsidTr="00AE73EE">
        <w:trPr>
          <w:trHeight w:val="798"/>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226FED4F"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ACCOGLIENZA</w:t>
            </w: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EFA62C"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Case Manager</w:t>
            </w:r>
          </w:p>
          <w:p w14:paraId="16C6C1D9"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da-DK"/>
              </w:rPr>
              <w:t xml:space="preserve">Medico                                             </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2076FD5"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Identificato nell’Ambito del GOM</w:t>
            </w:r>
          </w:p>
          <w:p w14:paraId="525A1B97"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Medico specialista di una delle unità afferenti al GOM</w:t>
            </w:r>
          </w:p>
        </w:tc>
      </w:tr>
      <w:tr w:rsidR="00955A9B" w:rsidRPr="00955A9B" w14:paraId="420AACAA" w14:textId="77777777" w:rsidTr="00AE73EE">
        <w:trPr>
          <w:trHeight w:val="411"/>
        </w:trPr>
        <w:tc>
          <w:tcPr>
            <w:tcW w:w="2300" w:type="dxa"/>
            <w:vMerge/>
            <w:tcBorders>
              <w:top w:val="single" w:sz="4" w:space="0" w:color="000000"/>
              <w:left w:val="nil"/>
              <w:bottom w:val="single" w:sz="4" w:space="0" w:color="000000"/>
              <w:right w:val="nil"/>
            </w:tcBorders>
            <w:shd w:val="clear" w:color="auto" w:fill="auto"/>
            <w:vAlign w:val="center"/>
            <w:hideMark/>
          </w:tcPr>
          <w:p w14:paraId="0E9B85ED" w14:textId="77777777" w:rsidR="00955A9B" w:rsidRPr="00955A9B" w:rsidRDefault="00955A9B" w:rsidP="00955A9B">
            <w:pPr>
              <w:spacing w:line="276" w:lineRule="auto"/>
              <w:rPr>
                <w:rFonts w:ascii="Times New Roman" w:eastAsia="Arial Unicode MS" w:hAnsi="Times New Roman" w:cs="Times New Roman"/>
                <w:szCs w:val="24"/>
                <w:bdr w:val="none" w:sz="0" w:space="0" w:color="auto" w:frame="1"/>
              </w:rPr>
            </w:pP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F6D8DD1"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28E67806"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 xml:space="preserve">Servizio civile </w:t>
            </w:r>
          </w:p>
          <w:p w14:paraId="2C9743A4"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Associazioni volontariato</w:t>
            </w:r>
          </w:p>
        </w:tc>
      </w:tr>
      <w:tr w:rsidR="00955A9B" w:rsidRPr="00955A9B" w14:paraId="703F4C4F" w14:textId="77777777" w:rsidTr="00AE73EE">
        <w:trPr>
          <w:trHeight w:val="873"/>
        </w:trPr>
        <w:tc>
          <w:tcPr>
            <w:tcW w:w="23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E8ED78A"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PRESA IN CARICO</w:t>
            </w:r>
          </w:p>
          <w:p w14:paraId="38EFA48C"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(Core Team)</w:t>
            </w: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C885969"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da-DK"/>
              </w:rPr>
              <w:t xml:space="preserve">Oncologi </w:t>
            </w:r>
          </w:p>
          <w:p w14:paraId="75DB0714"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Chirurghi Generale</w:t>
            </w:r>
          </w:p>
          <w:p w14:paraId="6EAB86B8"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Radioterapisti</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55C35CF"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pt-PT"/>
              </w:rPr>
              <w:t xml:space="preserve">UOC Oncologia Medica </w:t>
            </w:r>
          </w:p>
          <w:p w14:paraId="7D890E80"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UOC Chirurgia Generale</w:t>
            </w:r>
          </w:p>
          <w:p w14:paraId="0DFE4F92"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UOC Radioterapisti</w:t>
            </w:r>
          </w:p>
        </w:tc>
      </w:tr>
      <w:tr w:rsidR="00955A9B" w:rsidRPr="00955A9B" w14:paraId="60F979D2" w14:textId="77777777" w:rsidTr="00AE73EE">
        <w:trPr>
          <w:trHeight w:val="3859"/>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75F5C59"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ASSISTENZA</w:t>
            </w:r>
          </w:p>
          <w:p w14:paraId="3066A0AB"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(Extended Team)</w:t>
            </w:r>
          </w:p>
          <w:p w14:paraId="6C2E8DE5"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p>
          <w:p w14:paraId="510678DC"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p>
          <w:p w14:paraId="005774B4" w14:textId="77777777" w:rsidR="00955A9B" w:rsidRPr="00955A9B" w:rsidRDefault="00955A9B" w:rsidP="00955A9B">
            <w:pPr>
              <w:keepNext/>
              <w:spacing w:line="276" w:lineRule="auto"/>
              <w:rPr>
                <w:rFonts w:ascii="Times New Roman" w:eastAsia="Arial Unicode MS" w:hAnsi="Times New Roman" w:cs="Times New Roman"/>
                <w:i/>
                <w:iCs/>
                <w:szCs w:val="24"/>
                <w:bdr w:val="none" w:sz="0" w:space="0" w:color="auto" w:frame="1"/>
              </w:rPr>
            </w:pPr>
          </w:p>
          <w:p w14:paraId="3624DCA2"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i/>
                <w:iCs/>
                <w:szCs w:val="24"/>
                <w:bdr w:val="none" w:sz="0" w:space="0" w:color="auto" w:frame="1"/>
              </w:rPr>
              <w:t xml:space="preserve"> </w:t>
            </w: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F30F205"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da-DK"/>
              </w:rPr>
              <w:t xml:space="preserve">Oncologi </w:t>
            </w:r>
          </w:p>
          <w:p w14:paraId="53C17066"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Chirurghi Generale</w:t>
            </w:r>
          </w:p>
          <w:p w14:paraId="3F01D6F1"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rPr>
              <w:t>Radioterapisti</w:t>
            </w:r>
          </w:p>
          <w:p w14:paraId="449FA5E1"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Gastroenterologi</w:t>
            </w:r>
          </w:p>
          <w:p w14:paraId="3BAB89C5"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Genetisti</w:t>
            </w:r>
          </w:p>
          <w:p w14:paraId="3ED12D06"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Endoscopisti</w:t>
            </w:r>
          </w:p>
          <w:p w14:paraId="79B90C94"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Patologi clinici</w:t>
            </w:r>
          </w:p>
          <w:p w14:paraId="4B247BF5"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Biologi Molecolari</w:t>
            </w:r>
          </w:p>
          <w:p w14:paraId="51B438F3"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Anatomopatologi</w:t>
            </w:r>
          </w:p>
          <w:p w14:paraId="09F99F0B"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Radiologi</w:t>
            </w:r>
          </w:p>
          <w:p w14:paraId="48571787"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da-DK"/>
              </w:rPr>
            </w:pPr>
            <w:r w:rsidRPr="00955A9B">
              <w:rPr>
                <w:rFonts w:ascii="Times New Roman" w:eastAsia="Arial Unicode MS" w:hAnsi="Times New Roman" w:cs="Times New Roman"/>
                <w:szCs w:val="24"/>
                <w:bdr w:val="none" w:sz="0" w:space="0" w:color="auto" w:frame="1"/>
                <w:lang w:val="da-DK"/>
              </w:rPr>
              <w:t>Medici del dolore</w:t>
            </w:r>
          </w:p>
          <w:p w14:paraId="502E682A"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Cardiologi</w:t>
            </w:r>
          </w:p>
          <w:p w14:paraId="1F5EF019"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Psicologi</w:t>
            </w:r>
          </w:p>
          <w:p w14:paraId="182DA495"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Nutrizionisti</w:t>
            </w:r>
          </w:p>
          <w:p w14:paraId="2A0FB622"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Personale infermieristico</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7CAED33"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pt-PT"/>
              </w:rPr>
              <w:t xml:space="preserve">UOC Oncologia Medica </w:t>
            </w:r>
          </w:p>
          <w:p w14:paraId="7EFA95DD"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UOC Chirurgia Generale</w:t>
            </w:r>
          </w:p>
          <w:p w14:paraId="6E544568"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rPr>
              <w:t>UOC Radioterapisti</w:t>
            </w:r>
            <w:r w:rsidRPr="00955A9B">
              <w:rPr>
                <w:rFonts w:ascii="Times New Roman" w:eastAsia="Arial Unicode MS" w:hAnsi="Times New Roman" w:cs="Times New Roman"/>
                <w:szCs w:val="24"/>
                <w:bdr w:val="none" w:sz="0" w:space="0" w:color="auto" w:frame="1"/>
                <w:lang w:val="pt-PT"/>
              </w:rPr>
              <w:t xml:space="preserve"> </w:t>
            </w:r>
          </w:p>
          <w:p w14:paraId="31F78604"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Gastroenterologia</w:t>
            </w:r>
          </w:p>
          <w:p w14:paraId="7FDD1C32"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Genetica Medica</w:t>
            </w:r>
          </w:p>
          <w:p w14:paraId="608F94B6"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Endoscopia</w:t>
            </w:r>
          </w:p>
          <w:p w14:paraId="7F48EF57"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 xml:space="preserve">UOC Patologia clinica  </w:t>
            </w:r>
          </w:p>
          <w:p w14:paraId="2C12EC05"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Biologia Molecolare</w:t>
            </w:r>
          </w:p>
          <w:p w14:paraId="6CF548C4"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Anatomia Patologica</w:t>
            </w:r>
          </w:p>
          <w:p w14:paraId="18F575F3"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UOC Radiodiagnostica</w:t>
            </w:r>
          </w:p>
          <w:p w14:paraId="1BBAB0BD"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lang w:val="pt-PT"/>
              </w:rPr>
            </w:pPr>
            <w:r w:rsidRPr="00955A9B">
              <w:rPr>
                <w:rFonts w:ascii="Times New Roman" w:eastAsia="Arial Unicode MS" w:hAnsi="Times New Roman" w:cs="Times New Roman"/>
                <w:szCs w:val="24"/>
                <w:bdr w:val="none" w:sz="0" w:space="0" w:color="auto" w:frame="1"/>
                <w:lang w:val="pt-PT"/>
              </w:rPr>
              <w:t>UO Terapie Palliative</w:t>
            </w:r>
          </w:p>
          <w:p w14:paraId="641B04BF"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 Cardiologia</w:t>
            </w:r>
          </w:p>
          <w:p w14:paraId="7B91F52A"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 Psicologia</w:t>
            </w:r>
          </w:p>
          <w:p w14:paraId="29774E09"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UO Nutrizione</w:t>
            </w:r>
          </w:p>
        </w:tc>
      </w:tr>
      <w:tr w:rsidR="00955A9B" w:rsidRPr="00955A9B" w14:paraId="5A9B0C78" w14:textId="77777777" w:rsidTr="00AE73EE">
        <w:trPr>
          <w:trHeight w:val="1119"/>
        </w:trPr>
        <w:tc>
          <w:tcPr>
            <w:tcW w:w="2300" w:type="dxa"/>
            <w:vMerge/>
            <w:tcBorders>
              <w:top w:val="single" w:sz="4" w:space="0" w:color="000000"/>
              <w:left w:val="nil"/>
              <w:bottom w:val="single" w:sz="4" w:space="0" w:color="000000"/>
              <w:right w:val="nil"/>
            </w:tcBorders>
            <w:shd w:val="clear" w:color="auto" w:fill="auto"/>
            <w:vAlign w:val="center"/>
          </w:tcPr>
          <w:p w14:paraId="5DC3633A" w14:textId="77777777" w:rsidR="00955A9B" w:rsidRPr="00955A9B" w:rsidRDefault="00955A9B" w:rsidP="00955A9B">
            <w:pPr>
              <w:spacing w:line="276" w:lineRule="auto"/>
              <w:rPr>
                <w:rFonts w:ascii="Times New Roman" w:eastAsia="Arial Unicode MS" w:hAnsi="Times New Roman" w:cs="Times New Roman"/>
                <w:szCs w:val="24"/>
                <w:bdr w:val="none" w:sz="0" w:space="0" w:color="auto" w:frame="1"/>
              </w:rPr>
            </w:pPr>
          </w:p>
        </w:tc>
        <w:tc>
          <w:tcPr>
            <w:tcW w:w="35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BC27E2A"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es-ES_tradnl"/>
              </w:rPr>
              <w:t>Farmacisti</w:t>
            </w:r>
          </w:p>
          <w:p w14:paraId="5F6EDFC8"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Personale Infermieristico e/o Tecnici di laboratorio medico</w:t>
            </w:r>
          </w:p>
        </w:tc>
        <w:tc>
          <w:tcPr>
            <w:tcW w:w="381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B8BE348"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lang w:val="es-ES_tradnl"/>
              </w:rPr>
              <w:t>UO Farmacia</w:t>
            </w:r>
          </w:p>
          <w:p w14:paraId="009B2304" w14:textId="77777777" w:rsidR="00955A9B" w:rsidRPr="00955A9B" w:rsidRDefault="00955A9B" w:rsidP="00955A9B">
            <w:pPr>
              <w:keepNext/>
              <w:spacing w:line="276" w:lineRule="auto"/>
              <w:rPr>
                <w:rFonts w:ascii="Times New Roman" w:eastAsia="Arial Unicode MS" w:hAnsi="Times New Roman" w:cs="Times New Roman"/>
                <w:szCs w:val="24"/>
                <w:bdr w:val="none" w:sz="0" w:space="0" w:color="auto" w:frame="1"/>
              </w:rPr>
            </w:pPr>
            <w:r w:rsidRPr="00955A9B">
              <w:rPr>
                <w:rFonts w:ascii="Times New Roman" w:eastAsia="Arial Unicode MS" w:hAnsi="Times New Roman" w:cs="Times New Roman"/>
                <w:szCs w:val="24"/>
                <w:bdr w:val="none" w:sz="0" w:space="0" w:color="auto" w:frame="1"/>
              </w:rPr>
              <w:t>Unit</w:t>
            </w:r>
            <w:r w:rsidRPr="00955A9B">
              <w:rPr>
                <w:rFonts w:ascii="Times New Roman" w:eastAsia="Arial Unicode MS" w:hAnsi="Times New Roman" w:cs="Times New Roman"/>
                <w:szCs w:val="24"/>
                <w:bdr w:val="none" w:sz="0" w:space="0" w:color="auto" w:frame="1"/>
                <w:lang w:val="fr-FR"/>
              </w:rPr>
              <w:t xml:space="preserve">à </w:t>
            </w:r>
            <w:r w:rsidRPr="00955A9B">
              <w:rPr>
                <w:rFonts w:ascii="Times New Roman" w:eastAsia="Arial Unicode MS" w:hAnsi="Times New Roman" w:cs="Times New Roman"/>
                <w:szCs w:val="24"/>
                <w:bdr w:val="none" w:sz="0" w:space="0" w:color="auto" w:frame="1"/>
              </w:rPr>
              <w:t>di Manipolazione di Chemioterapici Antineoplastici (UMACA/UFA)</w:t>
            </w:r>
          </w:p>
        </w:tc>
      </w:tr>
    </w:tbl>
    <w:p w14:paraId="093A4465" w14:textId="77777777" w:rsidR="00955A9B" w:rsidRPr="00955A9B" w:rsidRDefault="00955A9B" w:rsidP="00955A9B">
      <w:pPr>
        <w:spacing w:line="360" w:lineRule="auto"/>
        <w:ind w:left="120" w:right="40"/>
        <w:jc w:val="both"/>
        <w:rPr>
          <w:rFonts w:ascii="Times New Roman" w:eastAsia="Times New Roman" w:hAnsi="Times New Roman" w:cs="Times New Roman"/>
          <w:sz w:val="24"/>
          <w:szCs w:val="24"/>
        </w:rPr>
      </w:pPr>
    </w:p>
    <w:p w14:paraId="1B5E8BBE" w14:textId="77777777" w:rsidR="00955A9B" w:rsidRPr="00955A9B" w:rsidRDefault="00955A9B" w:rsidP="00955A9B">
      <w:pPr>
        <w:autoSpaceDE w:val="0"/>
        <w:autoSpaceDN w:val="0"/>
        <w:adjustRightInd w:val="0"/>
        <w:spacing w:before="100" w:after="100" w:line="360" w:lineRule="auto"/>
        <w:jc w:val="both"/>
        <w:rPr>
          <w:rFonts w:ascii="Times New Roman" w:hAnsi="Times New Roman" w:cs="Times New Roman"/>
          <w:b/>
          <w:bCs/>
          <w:sz w:val="24"/>
          <w:szCs w:val="24"/>
        </w:rPr>
      </w:pPr>
    </w:p>
    <w:p w14:paraId="09EF7907" w14:textId="77777777" w:rsidR="00C449AA" w:rsidRDefault="00C449AA" w:rsidP="00955A9B">
      <w:pPr>
        <w:autoSpaceDE w:val="0"/>
        <w:autoSpaceDN w:val="0"/>
        <w:adjustRightInd w:val="0"/>
        <w:spacing w:before="100" w:after="100" w:line="360" w:lineRule="auto"/>
        <w:jc w:val="center"/>
        <w:rPr>
          <w:rFonts w:ascii="Times New Roman" w:hAnsi="Times New Roman" w:cs="Times New Roman"/>
          <w:b/>
          <w:bCs/>
          <w:sz w:val="24"/>
          <w:szCs w:val="24"/>
        </w:rPr>
      </w:pPr>
    </w:p>
    <w:p w14:paraId="1523C294" w14:textId="4F79AD05" w:rsidR="00955A9B" w:rsidRPr="00955A9B" w:rsidRDefault="00955A9B" w:rsidP="00955A9B">
      <w:pPr>
        <w:autoSpaceDE w:val="0"/>
        <w:autoSpaceDN w:val="0"/>
        <w:adjustRightInd w:val="0"/>
        <w:spacing w:before="100" w:after="100" w:line="360" w:lineRule="auto"/>
        <w:jc w:val="center"/>
        <w:rPr>
          <w:rFonts w:ascii="Times New Roman" w:hAnsi="Times New Roman" w:cs="Times New Roman"/>
          <w:b/>
          <w:bCs/>
          <w:sz w:val="24"/>
          <w:szCs w:val="24"/>
        </w:rPr>
      </w:pPr>
      <w:r w:rsidRPr="00955A9B">
        <w:rPr>
          <w:rFonts w:ascii="Times New Roman" w:hAnsi="Times New Roman" w:cs="Times New Roman"/>
          <w:b/>
          <w:bCs/>
          <w:sz w:val="24"/>
          <w:szCs w:val="24"/>
        </w:rPr>
        <w:t>TUMORE DELL’ESOFAGO</w:t>
      </w:r>
    </w:p>
    <w:p w14:paraId="17EC7758" w14:textId="77777777" w:rsidR="00955A9B" w:rsidRPr="00955A9B" w:rsidRDefault="00955A9B" w:rsidP="00955A9B">
      <w:pPr>
        <w:autoSpaceDE w:val="0"/>
        <w:autoSpaceDN w:val="0"/>
        <w:adjustRightInd w:val="0"/>
        <w:spacing w:before="100" w:after="100" w:line="360" w:lineRule="auto"/>
        <w:jc w:val="both"/>
        <w:rPr>
          <w:rFonts w:ascii="Times New Roman" w:hAnsi="Times New Roman" w:cs="Times New Roman"/>
          <w:b/>
          <w:bCs/>
          <w:sz w:val="24"/>
          <w:szCs w:val="24"/>
        </w:rPr>
      </w:pPr>
      <w:r w:rsidRPr="00955A9B">
        <w:rPr>
          <w:rFonts w:ascii="Times New Roman" w:hAnsi="Times New Roman" w:cs="Times New Roman"/>
          <w:b/>
          <w:bCs/>
          <w:sz w:val="24"/>
          <w:szCs w:val="24"/>
        </w:rPr>
        <w:t>Brevi note epidemiologiche</w:t>
      </w:r>
    </w:p>
    <w:p w14:paraId="65AB1AB2" w14:textId="117F1FCD" w:rsidR="00955A9B" w:rsidRPr="00955A9B" w:rsidRDefault="00955A9B" w:rsidP="00955A9B">
      <w:pPr>
        <w:autoSpaceDE w:val="0"/>
        <w:autoSpaceDN w:val="0"/>
        <w:adjustRightInd w:val="0"/>
        <w:spacing w:before="100" w:after="100" w:line="360" w:lineRule="auto"/>
        <w:jc w:val="both"/>
        <w:rPr>
          <w:rFonts w:ascii="Times New Roman" w:hAnsi="Times New Roman" w:cs="Times New Roman"/>
          <w:b/>
          <w:bCs/>
          <w:sz w:val="24"/>
          <w:szCs w:val="24"/>
        </w:rPr>
      </w:pPr>
      <w:r w:rsidRPr="00955A9B">
        <w:rPr>
          <w:rFonts w:ascii="Times New Roman" w:hAnsi="Times New Roman" w:cs="Times New Roman"/>
          <w:b/>
          <w:bCs/>
          <w:sz w:val="24"/>
          <w:szCs w:val="24"/>
        </w:rPr>
        <w:t>Fattori di rischio</w:t>
      </w:r>
    </w:p>
    <w:p w14:paraId="702C138D" w14:textId="77777777" w:rsidR="00955A9B" w:rsidRPr="00955A9B" w:rsidRDefault="00955A9B" w:rsidP="00955A9B">
      <w:pPr>
        <w:autoSpaceDE w:val="0"/>
        <w:autoSpaceDN w:val="0"/>
        <w:adjustRightInd w:val="0"/>
        <w:spacing w:before="100"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 fattori di rischio per il tumore esofageo variano a seconda della sede di malattia, dell’istotipo e della regione geografica di riferimento, potendosi identificare a livello globale e nazionale, regioni ad elevata e bassa incidenza. Il tabacco e il consumo di alcol rappresentano i maggiori fattori di rischio in entrambi i sessi.</w:t>
      </w:r>
    </w:p>
    <w:p w14:paraId="65F6EFD9" w14:textId="77777777" w:rsidR="00955A9B" w:rsidRPr="00955A9B" w:rsidRDefault="00955A9B" w:rsidP="00955A9B">
      <w:pPr>
        <w:autoSpaceDE w:val="0"/>
        <w:autoSpaceDN w:val="0"/>
        <w:adjustRightInd w:val="0"/>
        <w:spacing w:before="100"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Il fumo di sigaretta è responsabile da solo di circa 1/3 dei casi di neoplasia dell’esofago ed è in grado di condizionare un rischio 5-10 volte maggiore di ammalarsi nei fumatori. Tale rischio è strettamente correlato al numero di sigarette e agli anni complessivi di consumo, e subisce un forte incremento in caso di consumo contemporaneo di sigarette e alcol. A causa dell’azione sinergica dei numerosi cancerogeni, i soggetti bevitori/fumatori possono avere un rischio di ammalarsi di tumore dell’esofago fino a 100 volte più alto.</w:t>
      </w:r>
    </w:p>
    <w:p w14:paraId="4D5C39C3" w14:textId="77777777" w:rsidR="00955A9B" w:rsidRPr="00955A9B" w:rsidRDefault="00955A9B" w:rsidP="00955A9B">
      <w:pPr>
        <w:autoSpaceDE w:val="0"/>
        <w:autoSpaceDN w:val="0"/>
        <w:adjustRightInd w:val="0"/>
        <w:spacing w:before="100"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Il consumo di alcol è correlato specificamente all’insorgenza del carcinoma squamoso, così come lo sviluppo dell’adenocarcinoma è meno strettamente correlato all’abitudine tabagica.</w:t>
      </w:r>
    </w:p>
    <w:p w14:paraId="6620D730" w14:textId="77777777" w:rsidR="00955A9B" w:rsidRPr="00955A9B" w:rsidRDefault="00955A9B" w:rsidP="00955A9B">
      <w:pPr>
        <w:autoSpaceDE w:val="0"/>
        <w:autoSpaceDN w:val="0"/>
        <w:adjustRightInd w:val="0"/>
        <w:spacing w:before="100"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Il principale fattore di rischio per l’insorgenza dell’adenocarcinoma esofageo (prevalente nelle sedi inferiori/distali dell’esofago) è invece rappresentato dal reflusso gastro-esofageo. L’esposizione cronica al reflusso acido condiziona lo sviluppo di un’esofagite peptica e successivamente dell’esofago di Barrett (che rappresenta il fattore singolo più incisivo e importante per l’adenocarcinoma). I portatori di esofago di Barrett hanno un rischio 2-3 volte superiore rispetto ai pazienti affetti da MRGE in assenza di metaplasia (rischio annuo pari a 0.45%).</w:t>
      </w:r>
    </w:p>
    <w:p w14:paraId="14EC351E" w14:textId="77777777" w:rsidR="00955A9B" w:rsidRPr="00955A9B" w:rsidRDefault="00955A9B" w:rsidP="00955A9B">
      <w:pPr>
        <w:autoSpaceDE w:val="0"/>
        <w:autoSpaceDN w:val="0"/>
        <w:adjustRightInd w:val="0"/>
        <w:spacing w:before="100"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 fattori favorenti il reflusso, quale l’obesità e l’ernia iatale, rappresentano ulteriori elementi da considerare a rischio, accanto ad una dieta caratterizzata da un basso consumo di frutta e verdura, o da grandi quantità di cibi e bevande a temperatura particolarmente elevata (come abitudine in alcuni paesi dell’Est asiatico).</w:t>
      </w:r>
    </w:p>
    <w:p w14:paraId="44BE69DC" w14:textId="77777777" w:rsidR="00955A9B" w:rsidRPr="00955A9B" w:rsidRDefault="00955A9B" w:rsidP="00955A9B">
      <w:pPr>
        <w:autoSpaceDE w:val="0"/>
        <w:autoSpaceDN w:val="0"/>
        <w:adjustRightInd w:val="0"/>
        <w:spacing w:before="100"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Accanto a questi fattori dietetico-comportamentali, una serie di altre condizioni sono considerate ad aumentato rischio: la tilosi (rara sindrome genetica caratterizzata da ipercheratosi e papillomatosi con un rischio del 95% di sviluppare un carcinoma squamoso prima dei 65 anni), la sindrome di Plummer-Vinson, l’acalasia (disordine motorio dell’esofago con rischio di sviluppare un carcinoma esofageo fino a 30 volte superiore alla popolazione generale) e una pregressa ingestione di caustici (con una lunga latenza anche di 40 anni tra esposizione agli agenti acidi e diagnosi di tumore).</w:t>
      </w:r>
    </w:p>
    <w:p w14:paraId="57EFEBF8"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p>
    <w:p w14:paraId="2A3C7B23"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r w:rsidRPr="00955A9B">
        <w:rPr>
          <w:rFonts w:ascii="Times New Roman" w:eastAsia="MinionPro-Regular" w:hAnsi="Times New Roman" w:cs="Times New Roman"/>
          <w:b/>
          <w:bCs/>
          <w:sz w:val="24"/>
          <w:szCs w:val="24"/>
        </w:rPr>
        <w:t>Incidenza</w:t>
      </w:r>
    </w:p>
    <w:p w14:paraId="102B122F" w14:textId="0C117E79" w:rsidR="004C2B97" w:rsidRPr="00955A9B" w:rsidRDefault="004C2B97" w:rsidP="004C2B97">
      <w:pPr>
        <w:autoSpaceDE w:val="0"/>
        <w:autoSpaceDN w:val="0"/>
        <w:adjustRightInd w:val="0"/>
        <w:spacing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Nel 2020 l’incidenza di nuovi casi di tumore dell’esofago in Europa</w:t>
      </w:r>
      <w:r w:rsidR="00B12E59">
        <w:rPr>
          <w:rFonts w:ascii="Times New Roman" w:eastAsia="MinionPro-Regular" w:hAnsi="Times New Roman" w:cs="Times New Roman"/>
          <w:sz w:val="24"/>
          <w:szCs w:val="24"/>
          <w:vertAlign w:val="superscript"/>
        </w:rPr>
        <w:t>1</w:t>
      </w:r>
      <w:r w:rsidRPr="00955A9B">
        <w:rPr>
          <w:rFonts w:ascii="Times New Roman" w:eastAsia="MinionPro-Regular" w:hAnsi="Times New Roman" w:cs="Times New Roman"/>
          <w:sz w:val="24"/>
          <w:szCs w:val="24"/>
        </w:rPr>
        <w:t xml:space="preserve"> è stata stimata nell’ordine di ASR di 10.9 per 100.000 nei maschi e 2.7 per 100.000 nelle donne, con un numero di casi complessivi di oltre 30000 (23000 nei maschi e 7000 nelle femmine). Esiste una netta variabilità geografica che vede Olanda e Irlanda come i due paesi a maggiore incidenza (ASR &gt;20 per 100.000).</w:t>
      </w:r>
    </w:p>
    <w:p w14:paraId="5F65580F" w14:textId="7310A022" w:rsidR="004C2B97" w:rsidRDefault="004C2B97" w:rsidP="004C2B97">
      <w:pPr>
        <w:autoSpaceDE w:val="0"/>
        <w:autoSpaceDN w:val="0"/>
        <w:adjustRightInd w:val="0"/>
        <w:spacing w:after="0" w:line="360" w:lineRule="auto"/>
        <w:jc w:val="both"/>
        <w:rPr>
          <w:rFonts w:ascii="Times New Roman" w:hAnsi="Times New Roman" w:cs="Times New Roman"/>
          <w:sz w:val="24"/>
          <w:szCs w:val="24"/>
        </w:rPr>
      </w:pPr>
      <w:r w:rsidRPr="00955A9B">
        <w:rPr>
          <w:rFonts w:ascii="Times New Roman" w:eastAsia="MinionPro-Regular" w:hAnsi="Times New Roman" w:cs="Times New Roman"/>
          <w:sz w:val="24"/>
          <w:szCs w:val="24"/>
        </w:rPr>
        <w:t>L’Italia</w:t>
      </w:r>
      <w:r w:rsidRPr="00955A9B">
        <w:rPr>
          <w:rFonts w:ascii="Times New Roman" w:eastAsia="MinionPro-Regular" w:hAnsi="Times New Roman" w:cs="Times New Roman"/>
          <w:sz w:val="24"/>
          <w:szCs w:val="24"/>
          <w:vertAlign w:val="superscript"/>
        </w:rPr>
        <w:t>2</w:t>
      </w:r>
      <w:r w:rsidRPr="00955A9B">
        <w:rPr>
          <w:rFonts w:ascii="Times New Roman" w:eastAsia="MinionPro-Regular" w:hAnsi="Times New Roman" w:cs="Times New Roman"/>
          <w:sz w:val="24"/>
          <w:szCs w:val="24"/>
        </w:rPr>
        <w:t xml:space="preserve"> è considerato uno dei paesi a minore incidenza (ASR 3.1 per 100.000 in entrambi i sessi) con dati stimati al 202</w:t>
      </w:r>
      <w:r w:rsidR="00256856">
        <w:rPr>
          <w:rFonts w:ascii="Times New Roman" w:eastAsia="MinionPro-Regular" w:hAnsi="Times New Roman" w:cs="Times New Roman"/>
          <w:sz w:val="24"/>
          <w:szCs w:val="24"/>
        </w:rPr>
        <w:t>4</w:t>
      </w:r>
      <w:r w:rsidRPr="00955A9B">
        <w:rPr>
          <w:rFonts w:ascii="Times New Roman" w:eastAsia="MinionPro-Regular" w:hAnsi="Times New Roman" w:cs="Times New Roman"/>
          <w:sz w:val="24"/>
          <w:szCs w:val="24"/>
        </w:rPr>
        <w:t xml:space="preserve"> per un totale di </w:t>
      </w:r>
      <w:r w:rsidR="00256856" w:rsidRPr="00256856">
        <w:rPr>
          <w:rFonts w:ascii="Times New Roman" w:eastAsia="MinionPro-Regular" w:hAnsi="Times New Roman" w:cs="Times New Roman"/>
          <w:sz w:val="24"/>
          <w:szCs w:val="24"/>
        </w:rPr>
        <w:t xml:space="preserve">2.343 </w:t>
      </w:r>
      <w:r w:rsidRPr="00955A9B">
        <w:rPr>
          <w:rFonts w:ascii="Times New Roman" w:eastAsia="MinionPro-Regular" w:hAnsi="Times New Roman" w:cs="Times New Roman"/>
          <w:sz w:val="24"/>
          <w:szCs w:val="24"/>
        </w:rPr>
        <w:t>nuov</w:t>
      </w:r>
      <w:r w:rsidR="00AD73BC">
        <w:rPr>
          <w:rFonts w:ascii="Times New Roman" w:eastAsia="MinionPro-Regular" w:hAnsi="Times New Roman" w:cs="Times New Roman"/>
          <w:sz w:val="24"/>
          <w:szCs w:val="24"/>
        </w:rPr>
        <w:t>e</w:t>
      </w:r>
      <w:r w:rsidRPr="00955A9B">
        <w:rPr>
          <w:rFonts w:ascii="Times New Roman" w:eastAsia="MinionPro-Regular" w:hAnsi="Times New Roman" w:cs="Times New Roman"/>
          <w:sz w:val="24"/>
          <w:szCs w:val="24"/>
        </w:rPr>
        <w:t xml:space="preserve"> </w:t>
      </w:r>
      <w:r w:rsidR="00AD73BC">
        <w:rPr>
          <w:rFonts w:ascii="Times New Roman" w:eastAsia="MinionPro-Regular" w:hAnsi="Times New Roman" w:cs="Times New Roman"/>
          <w:sz w:val="24"/>
          <w:szCs w:val="24"/>
        </w:rPr>
        <w:t>diagnosi</w:t>
      </w:r>
      <w:r w:rsidRPr="00955A9B">
        <w:rPr>
          <w:rFonts w:ascii="Times New Roman" w:eastAsia="MinionPro-Regular" w:hAnsi="Times New Roman" w:cs="Times New Roman"/>
          <w:sz w:val="24"/>
          <w:szCs w:val="24"/>
        </w:rPr>
        <w:t xml:space="preserve"> (1</w:t>
      </w:r>
      <w:r w:rsidR="00AD73BC">
        <w:rPr>
          <w:rFonts w:ascii="Times New Roman" w:eastAsia="MinionPro-Regular" w:hAnsi="Times New Roman" w:cs="Times New Roman"/>
          <w:sz w:val="24"/>
          <w:szCs w:val="24"/>
        </w:rPr>
        <w:t>7</w:t>
      </w:r>
      <w:r w:rsidR="00A42249">
        <w:rPr>
          <w:rFonts w:ascii="Times New Roman" w:eastAsia="MinionPro-Regular" w:hAnsi="Times New Roman" w:cs="Times New Roman"/>
          <w:sz w:val="24"/>
          <w:szCs w:val="24"/>
        </w:rPr>
        <w:t>4</w:t>
      </w:r>
      <w:r w:rsidR="00256856">
        <w:rPr>
          <w:rFonts w:ascii="Times New Roman" w:eastAsia="MinionPro-Regular" w:hAnsi="Times New Roman" w:cs="Times New Roman"/>
          <w:sz w:val="24"/>
          <w:szCs w:val="24"/>
        </w:rPr>
        <w:t>4</w:t>
      </w:r>
      <w:r w:rsidRPr="00955A9B">
        <w:rPr>
          <w:rFonts w:ascii="Times New Roman" w:eastAsia="MinionPro-Regular" w:hAnsi="Times New Roman" w:cs="Times New Roman"/>
          <w:sz w:val="24"/>
          <w:szCs w:val="24"/>
        </w:rPr>
        <w:t xml:space="preserve"> nei maschi e </w:t>
      </w:r>
      <w:r w:rsidR="00256856">
        <w:rPr>
          <w:rFonts w:ascii="Times New Roman" w:eastAsia="MinionPro-Regular" w:hAnsi="Times New Roman" w:cs="Times New Roman"/>
          <w:sz w:val="24"/>
          <w:szCs w:val="24"/>
        </w:rPr>
        <w:t>599</w:t>
      </w:r>
      <w:r w:rsidRPr="00955A9B">
        <w:rPr>
          <w:rFonts w:ascii="Times New Roman" w:eastAsia="MinionPro-Regular" w:hAnsi="Times New Roman" w:cs="Times New Roman"/>
          <w:sz w:val="24"/>
          <w:szCs w:val="24"/>
        </w:rPr>
        <w:t xml:space="preserve"> nelle donne).</w:t>
      </w:r>
      <w:r w:rsidRPr="009734BD">
        <w:rPr>
          <w:rFonts w:ascii="Times New Roman" w:hAnsi="Times New Roman" w:cs="Times New Roman"/>
          <w:sz w:val="24"/>
          <w:szCs w:val="24"/>
        </w:rPr>
        <w:t xml:space="preserve"> </w:t>
      </w:r>
    </w:p>
    <w:p w14:paraId="66C1A853" w14:textId="1D92D24A" w:rsidR="004C2B97" w:rsidRPr="00955A9B" w:rsidRDefault="004C2B97" w:rsidP="004C2B97">
      <w:pPr>
        <w:autoSpaceDE w:val="0"/>
        <w:autoSpaceDN w:val="0"/>
        <w:adjustRightInd w:val="0"/>
        <w:spacing w:after="0" w:line="360" w:lineRule="auto"/>
        <w:jc w:val="both"/>
        <w:rPr>
          <w:rFonts w:ascii="Times New Roman" w:eastAsia="Times New Roman" w:hAnsi="Times New Roman" w:cs="Times New Roman"/>
          <w:spacing w:val="-3"/>
          <w:w w:val="95"/>
          <w:sz w:val="24"/>
          <w:szCs w:val="24"/>
        </w:rPr>
      </w:pPr>
      <w:r>
        <w:rPr>
          <w:rFonts w:ascii="Times New Roman" w:eastAsia="MinionPro-Regular" w:hAnsi="Times New Roman" w:cs="Times New Roman"/>
          <w:sz w:val="24"/>
          <w:szCs w:val="24"/>
        </w:rPr>
        <w:t>La stima</w:t>
      </w:r>
      <w:r w:rsidRPr="00955A9B">
        <w:rPr>
          <w:rFonts w:ascii="Times New Roman" w:eastAsia="MinionPro-Regular" w:hAnsi="Times New Roman" w:cs="Times New Roman"/>
          <w:sz w:val="24"/>
          <w:szCs w:val="24"/>
        </w:rPr>
        <w:t xml:space="preserve"> in Campania</w:t>
      </w:r>
      <w:r>
        <w:rPr>
          <w:rStyle w:val="Rimandonotaapidipagina"/>
          <w:rFonts w:ascii="Times New Roman" w:eastAsia="MinionPro-Regular" w:hAnsi="Times New Roman" w:cs="Times New Roman"/>
          <w:sz w:val="24"/>
          <w:szCs w:val="24"/>
        </w:rPr>
        <w:footnoteReference w:id="5"/>
      </w:r>
      <w:r>
        <w:rPr>
          <w:rFonts w:ascii="Times New Roman" w:eastAsia="MinionPro-Regular" w:hAnsi="Times New Roman" w:cs="Times New Roman"/>
          <w:sz w:val="24"/>
          <w:szCs w:val="24"/>
        </w:rPr>
        <w:t xml:space="preserve"> al 202</w:t>
      </w:r>
      <w:r w:rsidR="00A42249">
        <w:rPr>
          <w:rFonts w:ascii="Times New Roman" w:eastAsia="MinionPro-Regular" w:hAnsi="Times New Roman" w:cs="Times New Roman"/>
          <w:sz w:val="24"/>
          <w:szCs w:val="24"/>
        </w:rPr>
        <w:t>2</w:t>
      </w:r>
      <w:r>
        <w:rPr>
          <w:rFonts w:ascii="Times New Roman" w:eastAsia="MinionPro-Regular" w:hAnsi="Times New Roman" w:cs="Times New Roman"/>
          <w:sz w:val="24"/>
          <w:szCs w:val="24"/>
        </w:rPr>
        <w:t xml:space="preserve"> indica un AS</w:t>
      </w:r>
      <w:r w:rsidRPr="00955A9B">
        <w:rPr>
          <w:rFonts w:ascii="Times New Roman" w:eastAsia="MinionPro-Regular" w:hAnsi="Times New Roman" w:cs="Times New Roman"/>
          <w:sz w:val="24"/>
          <w:szCs w:val="24"/>
        </w:rPr>
        <w:t>R</w:t>
      </w:r>
      <w:r>
        <w:rPr>
          <w:rFonts w:ascii="Times New Roman" w:eastAsia="MinionPro-Regular" w:hAnsi="Times New Roman" w:cs="Times New Roman"/>
          <w:sz w:val="24"/>
          <w:szCs w:val="24"/>
        </w:rPr>
        <w:t xml:space="preserve"> di 3,1</w:t>
      </w:r>
      <w:r w:rsidRPr="00955A9B">
        <w:rPr>
          <w:rFonts w:ascii="Times New Roman" w:eastAsia="MinionPro-Regular" w:hAnsi="Times New Roman" w:cs="Times New Roman"/>
          <w:sz w:val="24"/>
          <w:szCs w:val="24"/>
        </w:rPr>
        <w:t xml:space="preserve"> per 100.000 negli uomini e </w:t>
      </w:r>
      <w:r>
        <w:rPr>
          <w:rFonts w:ascii="Times New Roman" w:eastAsia="MinionPro-Regular" w:hAnsi="Times New Roman" w:cs="Times New Roman"/>
          <w:sz w:val="24"/>
          <w:szCs w:val="24"/>
        </w:rPr>
        <w:t>0.9</w:t>
      </w:r>
      <w:r w:rsidRPr="00955A9B">
        <w:rPr>
          <w:rFonts w:ascii="Times New Roman" w:eastAsia="MinionPro-Regular" w:hAnsi="Times New Roman" w:cs="Times New Roman"/>
          <w:sz w:val="24"/>
          <w:szCs w:val="24"/>
        </w:rPr>
        <w:t xml:space="preserve"> per 100.000 nelle donne, con un nume</w:t>
      </w:r>
      <w:r>
        <w:rPr>
          <w:rFonts w:ascii="Times New Roman" w:eastAsia="MinionPro-Regular" w:hAnsi="Times New Roman" w:cs="Times New Roman"/>
          <w:sz w:val="24"/>
          <w:szCs w:val="24"/>
        </w:rPr>
        <w:t xml:space="preserve">ro di nuovi casi attesi di 124 (91 uomini e 33 </w:t>
      </w:r>
      <w:r w:rsidRPr="00955A9B">
        <w:rPr>
          <w:rFonts w:ascii="Times New Roman" w:eastAsia="MinionPro-Regular" w:hAnsi="Times New Roman" w:cs="Times New Roman"/>
          <w:sz w:val="24"/>
          <w:szCs w:val="24"/>
        </w:rPr>
        <w:t>donne).</w:t>
      </w:r>
    </w:p>
    <w:p w14:paraId="16637B0D"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0174537B"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r w:rsidRPr="00955A9B">
        <w:rPr>
          <w:rFonts w:ascii="Times New Roman" w:eastAsia="MinionPro-Regular" w:hAnsi="Times New Roman" w:cs="Times New Roman"/>
          <w:b/>
          <w:bCs/>
          <w:sz w:val="24"/>
          <w:szCs w:val="24"/>
        </w:rPr>
        <w:t>Mortalità</w:t>
      </w:r>
    </w:p>
    <w:p w14:paraId="432539A6" w14:textId="1654C4D1" w:rsidR="004C2B97" w:rsidRPr="00955A9B" w:rsidRDefault="004C2B97" w:rsidP="004C2B97">
      <w:pPr>
        <w:autoSpaceDE w:val="0"/>
        <w:autoSpaceDN w:val="0"/>
        <w:adjustRightInd w:val="0"/>
        <w:spacing w:before="100" w:after="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La stima al 2020 dei decessi per tumori dell’Esofago in Europa</w:t>
      </w:r>
      <w:r w:rsidR="00AD73BC">
        <w:rPr>
          <w:rFonts w:ascii="Times New Roman" w:eastAsia="MinionPro-Regular" w:hAnsi="Times New Roman" w:cs="Times New Roman"/>
          <w:sz w:val="24"/>
          <w:szCs w:val="24"/>
          <w:vertAlign w:val="superscript"/>
        </w:rPr>
        <w:t>1</w:t>
      </w:r>
      <w:r w:rsidRPr="00955A9B">
        <w:rPr>
          <w:rFonts w:ascii="Times New Roman" w:eastAsia="MinionPro-Regular" w:hAnsi="Times New Roman" w:cs="Times New Roman"/>
          <w:sz w:val="24"/>
          <w:szCs w:val="24"/>
          <w:vertAlign w:val="superscript"/>
        </w:rPr>
        <w:t xml:space="preserve"> </w:t>
      </w:r>
      <w:r w:rsidRPr="00955A9B">
        <w:rPr>
          <w:rFonts w:ascii="Times New Roman" w:eastAsia="MinionPro-Regular" w:hAnsi="Times New Roman" w:cs="Times New Roman"/>
          <w:sz w:val="24"/>
          <w:szCs w:val="24"/>
        </w:rPr>
        <w:t>è rappresentata da un ASR di 9.4 per 100.000 per i maschi e 2.1 per 100.000 per le femmine, con un numero complessivo di decessi stimati di 25617 (19851 maschi, 5766 femmine) su oltre 500.000 decessi annui a livello globale.</w:t>
      </w:r>
    </w:p>
    <w:p w14:paraId="062175BE" w14:textId="491B2FA1" w:rsidR="004C2B97" w:rsidRDefault="004C2B97" w:rsidP="004C2B97">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In Italia</w:t>
      </w:r>
      <w:r w:rsidRPr="00955A9B">
        <w:rPr>
          <w:rFonts w:ascii="Times New Roman" w:eastAsia="MinionPro-Regular" w:hAnsi="Times New Roman" w:cs="Times New Roman"/>
          <w:sz w:val="24"/>
          <w:szCs w:val="24"/>
          <w:vertAlign w:val="superscript"/>
        </w:rPr>
        <w:t xml:space="preserve">2 </w:t>
      </w:r>
      <w:r w:rsidRPr="00955A9B">
        <w:rPr>
          <w:rFonts w:ascii="Times New Roman" w:eastAsia="MinionPro-Regular" w:hAnsi="Times New Roman" w:cs="Times New Roman"/>
          <w:sz w:val="24"/>
          <w:szCs w:val="24"/>
        </w:rPr>
        <w:t>gli equivalenti dati stimati al 202</w:t>
      </w:r>
      <w:r w:rsidR="00BF6BAB">
        <w:rPr>
          <w:rFonts w:ascii="Times New Roman" w:eastAsia="MinionPro-Regular" w:hAnsi="Times New Roman" w:cs="Times New Roman"/>
          <w:sz w:val="24"/>
          <w:szCs w:val="24"/>
        </w:rPr>
        <w:t>2</w:t>
      </w:r>
      <w:r w:rsidRPr="00955A9B">
        <w:rPr>
          <w:rFonts w:ascii="Times New Roman" w:eastAsia="MinionPro-Regular" w:hAnsi="Times New Roman" w:cs="Times New Roman"/>
          <w:sz w:val="24"/>
          <w:szCs w:val="24"/>
        </w:rPr>
        <w:t xml:space="preserve"> indicano un ASR di 2.7 per 100.000 (1</w:t>
      </w:r>
      <w:r w:rsidR="00BF6BAB">
        <w:rPr>
          <w:rFonts w:ascii="Times New Roman" w:eastAsia="MinionPro-Regular" w:hAnsi="Times New Roman" w:cs="Times New Roman"/>
          <w:sz w:val="24"/>
          <w:szCs w:val="24"/>
        </w:rPr>
        <w:t>824</w:t>
      </w:r>
      <w:r w:rsidRPr="00955A9B">
        <w:rPr>
          <w:rFonts w:ascii="Times New Roman" w:eastAsia="MinionPro-Regular" w:hAnsi="Times New Roman" w:cs="Times New Roman"/>
          <w:sz w:val="24"/>
          <w:szCs w:val="24"/>
        </w:rPr>
        <w:t xml:space="preserve"> morti nei maschi e </w:t>
      </w:r>
      <w:r w:rsidR="00BF6BAB">
        <w:rPr>
          <w:rFonts w:ascii="Times New Roman" w:eastAsia="MinionPro-Regular" w:hAnsi="Times New Roman" w:cs="Times New Roman"/>
          <w:sz w:val="24"/>
          <w:szCs w:val="24"/>
        </w:rPr>
        <w:t>471</w:t>
      </w:r>
      <w:r w:rsidR="00BF6BAB" w:rsidRPr="00955A9B">
        <w:rPr>
          <w:rFonts w:ascii="Times New Roman" w:eastAsia="MinionPro-Regular" w:hAnsi="Times New Roman" w:cs="Times New Roman"/>
          <w:sz w:val="24"/>
          <w:szCs w:val="24"/>
        </w:rPr>
        <w:t xml:space="preserve"> </w:t>
      </w:r>
      <w:r w:rsidRPr="00955A9B">
        <w:rPr>
          <w:rFonts w:ascii="Times New Roman" w:eastAsia="MinionPro-Regular" w:hAnsi="Times New Roman" w:cs="Times New Roman"/>
          <w:sz w:val="24"/>
          <w:szCs w:val="24"/>
        </w:rPr>
        <w:t>nelle femmine).</w:t>
      </w:r>
      <w:r w:rsidRPr="009734BD">
        <w:rPr>
          <w:rFonts w:ascii="Times New Roman" w:eastAsia="MinionPro-Regular" w:hAnsi="Times New Roman" w:cs="Times New Roman"/>
          <w:sz w:val="24"/>
          <w:szCs w:val="24"/>
        </w:rPr>
        <w:t xml:space="preserve"> </w:t>
      </w:r>
    </w:p>
    <w:p w14:paraId="62F2884D" w14:textId="5C87482D" w:rsidR="004C2B97" w:rsidRPr="00955A9B" w:rsidRDefault="004C2B97" w:rsidP="004C2B97">
      <w:pPr>
        <w:autoSpaceDE w:val="0"/>
        <w:autoSpaceDN w:val="0"/>
        <w:adjustRightInd w:val="0"/>
        <w:spacing w:before="100" w:after="10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xml:space="preserve">La stima </w:t>
      </w:r>
      <w:r w:rsidRPr="00955A9B">
        <w:rPr>
          <w:rFonts w:ascii="Times New Roman" w:eastAsia="MinionPro-Regular" w:hAnsi="Times New Roman" w:cs="Times New Roman"/>
          <w:sz w:val="24"/>
          <w:szCs w:val="24"/>
        </w:rPr>
        <w:t>in Campania</w:t>
      </w:r>
      <w:r w:rsidR="00AD73BC">
        <w:rPr>
          <w:rFonts w:ascii="Times New Roman" w:eastAsia="MinionPro-Regular" w:hAnsi="Times New Roman" w:cs="Times New Roman"/>
          <w:sz w:val="24"/>
          <w:szCs w:val="24"/>
          <w:vertAlign w:val="superscript"/>
        </w:rPr>
        <w:t>5</w:t>
      </w:r>
      <w:r w:rsidRPr="00955A9B">
        <w:rPr>
          <w:rFonts w:ascii="Times New Roman" w:eastAsia="MinionPro-Regular" w:hAnsi="Times New Roman" w:cs="Times New Roman"/>
          <w:sz w:val="24"/>
          <w:szCs w:val="24"/>
        </w:rPr>
        <w:t xml:space="preserve"> al 202</w:t>
      </w:r>
      <w:r>
        <w:rPr>
          <w:rFonts w:ascii="Times New Roman" w:eastAsia="MinionPro-Regular" w:hAnsi="Times New Roman" w:cs="Times New Roman"/>
          <w:sz w:val="24"/>
          <w:szCs w:val="24"/>
        </w:rPr>
        <w:t>1</w:t>
      </w:r>
      <w:r w:rsidRPr="00955A9B">
        <w:rPr>
          <w:rFonts w:ascii="Times New Roman" w:eastAsia="MinionPro-Regular" w:hAnsi="Times New Roman" w:cs="Times New Roman"/>
          <w:sz w:val="24"/>
          <w:szCs w:val="24"/>
        </w:rPr>
        <w:t xml:space="preserve"> indica un ASR di mortalità di </w:t>
      </w:r>
      <w:r>
        <w:rPr>
          <w:rFonts w:ascii="Times New Roman" w:eastAsia="MinionPro-Regular" w:hAnsi="Times New Roman" w:cs="Times New Roman"/>
          <w:sz w:val="24"/>
          <w:szCs w:val="24"/>
        </w:rPr>
        <w:t>2,8 per 100.000 negli uomini e 0,8</w:t>
      </w:r>
      <w:r w:rsidRPr="00955A9B">
        <w:rPr>
          <w:rFonts w:ascii="Times New Roman" w:eastAsia="MinionPro-Regular" w:hAnsi="Times New Roman" w:cs="Times New Roman"/>
          <w:sz w:val="24"/>
          <w:szCs w:val="24"/>
        </w:rPr>
        <w:t xml:space="preserve"> per 100.000 nelle do</w:t>
      </w:r>
      <w:r>
        <w:rPr>
          <w:rFonts w:ascii="Times New Roman" w:eastAsia="MinionPro-Regular" w:hAnsi="Times New Roman" w:cs="Times New Roman"/>
          <w:sz w:val="24"/>
          <w:szCs w:val="24"/>
        </w:rPr>
        <w:t>nne, con un numero stimato di 98 decessi (74 uomini e 24</w:t>
      </w:r>
      <w:r w:rsidRPr="00955A9B">
        <w:rPr>
          <w:rFonts w:ascii="Times New Roman" w:eastAsia="MinionPro-Regular" w:hAnsi="Times New Roman" w:cs="Times New Roman"/>
          <w:sz w:val="24"/>
          <w:szCs w:val="24"/>
        </w:rPr>
        <w:t xml:space="preserve"> donne).</w:t>
      </w:r>
    </w:p>
    <w:p w14:paraId="043E0350"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5A11D5EC"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b/>
          <w:bCs/>
          <w:sz w:val="24"/>
          <w:szCs w:val="24"/>
        </w:rPr>
        <w:t>Sopravvivenz</w:t>
      </w:r>
      <w:r w:rsidRPr="00955A9B">
        <w:rPr>
          <w:rFonts w:ascii="Times New Roman" w:eastAsia="MinionPro-Regular" w:hAnsi="Times New Roman" w:cs="Times New Roman"/>
          <w:sz w:val="24"/>
          <w:szCs w:val="24"/>
        </w:rPr>
        <w:t>a</w:t>
      </w:r>
    </w:p>
    <w:p w14:paraId="5EC17265" w14:textId="140406F1" w:rsidR="004C2B97" w:rsidRPr="00955A9B" w:rsidRDefault="004C2B97" w:rsidP="004C2B97">
      <w:pPr>
        <w:autoSpaceDE w:val="0"/>
        <w:autoSpaceDN w:val="0"/>
        <w:adjustRightInd w:val="0"/>
        <w:spacing w:before="100" w:after="100" w:line="360" w:lineRule="auto"/>
        <w:jc w:val="both"/>
        <w:rPr>
          <w:rFonts w:ascii="Times New Roman" w:eastAsia="MinionPro-Regular" w:hAnsi="Times New Roman" w:cs="Times New Roman"/>
          <w:sz w:val="24"/>
          <w:szCs w:val="24"/>
        </w:rPr>
      </w:pPr>
      <w:r w:rsidRPr="00955A9B">
        <w:rPr>
          <w:rFonts w:ascii="Times New Roman" w:eastAsia="MinionPro-Regular" w:hAnsi="Times New Roman" w:cs="Times New Roman"/>
          <w:sz w:val="24"/>
          <w:szCs w:val="24"/>
        </w:rPr>
        <w:t>In Italia la sopravvivenza a 5 anni è del 13% negli uomini e del 22% nelle donne, tale da rendere il carcinoma dell’esofago</w:t>
      </w:r>
      <w:r>
        <w:rPr>
          <w:rFonts w:ascii="Times New Roman" w:eastAsia="MinionPro-Regular" w:hAnsi="Times New Roman" w:cs="Times New Roman"/>
          <w:sz w:val="24"/>
          <w:szCs w:val="24"/>
        </w:rPr>
        <w:t xml:space="preserve"> una delle neoplasie a prognosi.</w:t>
      </w:r>
    </w:p>
    <w:p w14:paraId="6464184D" w14:textId="3F486C93" w:rsid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sz w:val="24"/>
          <w:szCs w:val="24"/>
        </w:rPr>
      </w:pPr>
    </w:p>
    <w:p w14:paraId="587A29D4" w14:textId="77777777" w:rsidR="001040D4" w:rsidRPr="00955A9B" w:rsidRDefault="001040D4"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6F052327"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33227F90"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629375B0" w14:textId="77777777" w:rsidR="00955A9B" w:rsidRPr="00955A9B" w:rsidRDefault="00955A9B" w:rsidP="00955A9B">
      <w:pPr>
        <w:autoSpaceDE w:val="0"/>
        <w:autoSpaceDN w:val="0"/>
        <w:adjustRightInd w:val="0"/>
        <w:spacing w:before="100" w:after="100" w:line="360" w:lineRule="auto"/>
        <w:jc w:val="both"/>
        <w:rPr>
          <w:rFonts w:ascii="Times New Roman" w:eastAsia="MinionPro-Regular" w:hAnsi="Times New Roman" w:cs="Times New Roman"/>
          <w:b/>
          <w:bCs/>
          <w:sz w:val="24"/>
          <w:szCs w:val="24"/>
        </w:rPr>
      </w:pPr>
    </w:p>
    <w:p w14:paraId="4E16BEBF" w14:textId="77777777" w:rsidR="00955A9B" w:rsidRPr="00955A9B" w:rsidRDefault="00955A9B"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PERCORSO PER SEGMENTAZIONE</w:t>
      </w:r>
    </w:p>
    <w:p w14:paraId="59A08F1C" w14:textId="77777777" w:rsidR="00955A9B" w:rsidRPr="00955A9B" w:rsidRDefault="00955A9B" w:rsidP="00955A9B">
      <w:pPr>
        <w:numPr>
          <w:ilvl w:val="0"/>
          <w:numId w:val="1"/>
        </w:numPr>
        <w:tabs>
          <w:tab w:val="left" w:pos="426"/>
        </w:tabs>
        <w:spacing w:after="0" w:line="360" w:lineRule="auto"/>
        <w:ind w:left="840" w:hanging="707"/>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Percorso Diagnostico/Stadiativo per paziente con sospetta neoplasia esofagea</w:t>
      </w:r>
    </w:p>
    <w:p w14:paraId="7F9F0A52" w14:textId="77777777" w:rsidR="00955A9B" w:rsidRPr="00955A9B" w:rsidRDefault="00955A9B" w:rsidP="00955A9B">
      <w:pPr>
        <w:numPr>
          <w:ilvl w:val="0"/>
          <w:numId w:val="1"/>
        </w:numPr>
        <w:tabs>
          <w:tab w:val="left" w:pos="426"/>
          <w:tab w:val="left" w:pos="840"/>
        </w:tabs>
        <w:spacing w:after="0" w:line="360" w:lineRule="auto"/>
        <w:ind w:left="840" w:hanging="707"/>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Percorso Terapeutico per paziente con neoplasia esofagea accertata ed in fase precoce</w:t>
      </w:r>
    </w:p>
    <w:p w14:paraId="135BF43D" w14:textId="77777777" w:rsidR="00955A9B" w:rsidRPr="00955A9B" w:rsidRDefault="00955A9B" w:rsidP="00955A9B">
      <w:pPr>
        <w:tabs>
          <w:tab w:val="left" w:pos="426"/>
          <w:tab w:val="left" w:pos="820"/>
          <w:tab w:val="left" w:pos="4280"/>
        </w:tabs>
        <w:spacing w:line="360" w:lineRule="auto"/>
        <w:ind w:left="14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w:t>
      </w:r>
      <w:r w:rsidRPr="00955A9B">
        <w:rPr>
          <w:rFonts w:ascii="Times New Roman" w:eastAsia="Times New Roman" w:hAnsi="Times New Roman" w:cs="Times New Roman"/>
          <w:sz w:val="24"/>
          <w:szCs w:val="24"/>
        </w:rPr>
        <w:tab/>
        <w:t>Percorso Terapeutico per paziente con neoplasia esofagea accertata ed in fase avanzata</w:t>
      </w:r>
    </w:p>
    <w:p w14:paraId="49B572CB" w14:textId="77777777" w:rsidR="00955A9B" w:rsidRPr="00955A9B" w:rsidRDefault="00955A9B" w:rsidP="00955A9B">
      <w:pPr>
        <w:numPr>
          <w:ilvl w:val="0"/>
          <w:numId w:val="2"/>
        </w:numPr>
        <w:tabs>
          <w:tab w:val="left" w:pos="426"/>
          <w:tab w:val="left" w:pos="840"/>
        </w:tabs>
        <w:spacing w:after="0" w:line="360" w:lineRule="auto"/>
        <w:ind w:left="840" w:hanging="707"/>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Follow-up per paziente con patologia esofagea pregressa</w:t>
      </w:r>
    </w:p>
    <w:p w14:paraId="5101BD25" w14:textId="77777777" w:rsidR="00955A9B" w:rsidRPr="00955A9B" w:rsidRDefault="00955A9B" w:rsidP="00955A9B">
      <w:pPr>
        <w:spacing w:line="360" w:lineRule="auto"/>
        <w:jc w:val="both"/>
        <w:rPr>
          <w:rFonts w:ascii="Times New Roman" w:eastAsia="Times New Roman" w:hAnsi="Times New Roman" w:cs="Times New Roman"/>
          <w:sz w:val="24"/>
          <w:szCs w:val="24"/>
        </w:rPr>
      </w:pPr>
    </w:p>
    <w:p w14:paraId="4AC227C1" w14:textId="77777777" w:rsidR="00955A9B" w:rsidRPr="00955A9B" w:rsidRDefault="00955A9B"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PERCORSO DIAGNOSTICO/STADIATIVO PER PAZIENTE CON SOSPETTA NEOPLASIA ESOFAGEA.</w:t>
      </w:r>
    </w:p>
    <w:p w14:paraId="157C05DC" w14:textId="77777777" w:rsidR="00955A9B" w:rsidRPr="00955A9B" w:rsidRDefault="00955A9B" w:rsidP="00955A9B">
      <w:pPr>
        <w:spacing w:after="0"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 xml:space="preserve">I tumori dell’esofago possono essere asintomatici o paucisintomatici nelle fasi iniziali e alcuni sintomi associati (pirosi, reflusso, rigurgito…) possono essere inizialmente confusi con condizioni patologiche aspecifiche o benigne. </w:t>
      </w:r>
    </w:p>
    <w:p w14:paraId="51F98E3B" w14:textId="77777777" w:rsidR="00955A9B" w:rsidRPr="00955A9B" w:rsidRDefault="00955A9B" w:rsidP="00955A9B">
      <w:pPr>
        <w:spacing w:after="0"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 xml:space="preserve">Tardivamente, quando il coinvolgimento circonferenziale e stenotico del viscere è avanzato, compare il sintomo più caratteristico: la disfagia. </w:t>
      </w:r>
    </w:p>
    <w:p w14:paraId="6DD247F2" w14:textId="77777777" w:rsidR="00955A9B" w:rsidRPr="00955A9B" w:rsidRDefault="00955A9B" w:rsidP="00955A9B">
      <w:pPr>
        <w:spacing w:after="0"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In presenza di disfagia persistente (per liquidi e/o solidi) in soggetti con età maggiore di 18 anni è opportuno che i pazienti siano riferiti, attraverso il MMG o altro specialista di riferimento, presso un centro oncologico di II livello per la valutazione del caso da parte del Gruppo Oncologico Multidisciplinare (GOM) specifico e per la pianificazione dell’iter terapeutico.</w:t>
      </w:r>
    </w:p>
    <w:p w14:paraId="371EF8F0" w14:textId="77777777" w:rsidR="00955A9B" w:rsidRPr="00955A9B" w:rsidRDefault="00955A9B" w:rsidP="00955A9B">
      <w:pPr>
        <w:spacing w:after="0"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Sintomi e segni associati in grado di rafforzare il sospetto clinico sono rappresentati da: odinofagia, calo ponderale, ematemesi, epigastralgia, anemizzazione, specie in un soggetto fumatore e/o consumatore di alcol. Questo corredo sintomatologico configura un quadro di massima allerta meritevole di immediato approfondimento diagnostico, senza tentativi di trattamento medico empirico per condizioni aspecifiche (esempio impiego di IPP, antiacidi ecc).</w:t>
      </w:r>
    </w:p>
    <w:p w14:paraId="3A40E9ED" w14:textId="77777777" w:rsidR="00955A9B" w:rsidRPr="00955A9B" w:rsidRDefault="00955A9B" w:rsidP="00955A9B">
      <w:pPr>
        <w:spacing w:after="0"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L’esame cardinale per la diagnosi del tumore dell’esofago è rappresentato dalla esofagogastroduodenoscopia (EGDS) con biopsie multiple.</w:t>
      </w:r>
    </w:p>
    <w:p w14:paraId="675B01A9" w14:textId="0B93408C" w:rsidR="00955A9B" w:rsidRPr="00955A9B" w:rsidRDefault="00955A9B"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Il/la paziente effettuerà la prima visita necessaria per l’inquadramento del problema presso l’ambulatorio dedicato alla patologia. L’infermiere Case Manager incaricato dal GOM si occuperà della prenotazione degli esami laboratoristici, radiologici e/o cito/istologici necessari per la diagnosi, in Rete interna alla struttura o di indirizzare, su indicazione degli specialisti del GOM, il cittadino presso le strutture della Rete Oncologica Regionale. In caso di mancanza di tale figura di coordinamento, tale incarico sarà ricoperto periodicamente da un me</w:t>
      </w:r>
      <w:r w:rsidR="00836B7B">
        <w:rPr>
          <w:rFonts w:ascii="Times New Roman" w:eastAsia="Times New Roman" w:hAnsi="Times New Roman" w:cs="Times New Roman"/>
          <w:sz w:val="24"/>
          <w:szCs w:val="24"/>
        </w:rPr>
        <w:t>dico afferente al GOM. (Figura 3</w:t>
      </w:r>
      <w:r w:rsidRPr="00955A9B">
        <w:rPr>
          <w:rFonts w:ascii="Times New Roman" w:eastAsia="Times New Roman" w:hAnsi="Times New Roman" w:cs="Times New Roman"/>
          <w:sz w:val="24"/>
          <w:szCs w:val="24"/>
        </w:rPr>
        <w:t>) Nel caso in cui gli approfondimenti diagnostici risultino negativi per malignità, il/la paziente sarà indirizzato/a all’inquadramento del problema da parte del MMG.</w:t>
      </w:r>
    </w:p>
    <w:p w14:paraId="295BA50F" w14:textId="77777777" w:rsidR="00955A9B" w:rsidRPr="00955A9B" w:rsidRDefault="00955A9B" w:rsidP="00955A9B">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 casi dubbi o d’incerta interpretazione saranno sottoposti agli approfondimenti che saranno ritenuti più opportuni caso per caso.</w:t>
      </w:r>
    </w:p>
    <w:p w14:paraId="3BD8032C" w14:textId="0BF2A243" w:rsidR="00955A9B" w:rsidRPr="00955A9B" w:rsidRDefault="00955A9B"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Nel caso in cui gli esami diagnostici confermino il sospetto di malignità, il/la paziente sarà sottoposto agli opportuni esami clinico-strumentali di sta</w:t>
      </w:r>
      <w:r w:rsidR="00836B7B">
        <w:rPr>
          <w:rFonts w:ascii="Times New Roman" w:eastAsia="Times New Roman" w:hAnsi="Times New Roman" w:cs="Times New Roman"/>
          <w:sz w:val="24"/>
          <w:szCs w:val="24"/>
        </w:rPr>
        <w:t>diazione, riportati in tabella 10</w:t>
      </w:r>
      <w:r w:rsidRPr="00955A9B">
        <w:rPr>
          <w:rFonts w:ascii="Times New Roman" w:eastAsia="Times New Roman" w:hAnsi="Times New Roman" w:cs="Times New Roman"/>
          <w:sz w:val="24"/>
          <w:szCs w:val="24"/>
        </w:rPr>
        <w:t>, conformemente a quanto previsto dalle più recenti linee guida nazionali ed internazionali (AIOM, NCCN, ESMO), sulla base dello stadio TNM, al fine di impostare il più adeguato percorso terapeutico. Tali esami potranno essere praticati presso i centri di I e II livello della Rete, su indirizzo del GOM responsabile della Presa in Carico.</w:t>
      </w:r>
    </w:p>
    <w:p w14:paraId="453141B2" w14:textId="77777777" w:rsidR="00801B20" w:rsidRDefault="00801B20" w:rsidP="00955A9B">
      <w:pPr>
        <w:spacing w:line="360" w:lineRule="auto"/>
        <w:jc w:val="both"/>
        <w:rPr>
          <w:rFonts w:ascii="Times New Roman" w:eastAsia="Times New Roman" w:hAnsi="Times New Roman" w:cs="Times New Roman"/>
          <w:b/>
          <w:sz w:val="24"/>
          <w:szCs w:val="24"/>
        </w:rPr>
      </w:pPr>
    </w:p>
    <w:p w14:paraId="4FEC5BB4" w14:textId="77777777" w:rsidR="00801B20" w:rsidRDefault="00801B20" w:rsidP="00955A9B">
      <w:pPr>
        <w:spacing w:line="360" w:lineRule="auto"/>
        <w:jc w:val="both"/>
        <w:rPr>
          <w:rFonts w:ascii="Times New Roman" w:eastAsia="Times New Roman" w:hAnsi="Times New Roman" w:cs="Times New Roman"/>
          <w:b/>
          <w:sz w:val="24"/>
          <w:szCs w:val="24"/>
        </w:rPr>
      </w:pPr>
    </w:p>
    <w:p w14:paraId="28307144" w14:textId="77777777" w:rsidR="00801B20" w:rsidRDefault="00801B20" w:rsidP="00955A9B">
      <w:pPr>
        <w:spacing w:line="360" w:lineRule="auto"/>
        <w:jc w:val="both"/>
        <w:rPr>
          <w:rFonts w:ascii="Times New Roman" w:eastAsia="Times New Roman" w:hAnsi="Times New Roman" w:cs="Times New Roman"/>
          <w:b/>
          <w:sz w:val="24"/>
          <w:szCs w:val="24"/>
        </w:rPr>
      </w:pPr>
    </w:p>
    <w:p w14:paraId="0E36D45E" w14:textId="77777777" w:rsidR="00801B20" w:rsidRDefault="00801B20" w:rsidP="00955A9B">
      <w:pPr>
        <w:spacing w:line="360" w:lineRule="auto"/>
        <w:jc w:val="both"/>
        <w:rPr>
          <w:rFonts w:ascii="Times New Roman" w:eastAsia="Times New Roman" w:hAnsi="Times New Roman" w:cs="Times New Roman"/>
          <w:b/>
          <w:sz w:val="24"/>
          <w:szCs w:val="24"/>
        </w:rPr>
      </w:pPr>
    </w:p>
    <w:p w14:paraId="68FE76D7" w14:textId="0D72F53D" w:rsidR="00955A9B" w:rsidRPr="00955A9B" w:rsidRDefault="00836B7B" w:rsidP="00955A9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Figura 3</w:t>
      </w:r>
      <w:r w:rsidR="00955A9B" w:rsidRPr="00955A9B">
        <w:rPr>
          <w:rFonts w:ascii="Times New Roman" w:eastAsia="Times New Roman" w:hAnsi="Times New Roman" w:cs="Times New Roman"/>
          <w:b/>
          <w:sz w:val="24"/>
          <w:szCs w:val="24"/>
        </w:rPr>
        <w:t>: Percorso diagnostico in casi di sospetto clinico di neoplasia esofagea</w:t>
      </w:r>
    </w:p>
    <w:p w14:paraId="0521F75E"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noProof/>
          <w:sz w:val="24"/>
          <w:szCs w:val="24"/>
          <w:lang w:eastAsia="it-IT"/>
        </w:rPr>
        <w:drawing>
          <wp:inline distT="0" distB="0" distL="0" distR="0" wp14:anchorId="666ADE5B" wp14:editId="2CE13B40">
            <wp:extent cx="6144260" cy="3591763"/>
            <wp:effectExtent l="0" t="0" r="8890" b="889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5469" cy="3598315"/>
                    </a:xfrm>
                    <a:prstGeom prst="rect">
                      <a:avLst/>
                    </a:prstGeom>
                    <a:noFill/>
                    <a:ln>
                      <a:noFill/>
                    </a:ln>
                  </pic:spPr>
                </pic:pic>
              </a:graphicData>
            </a:graphic>
          </wp:inline>
        </w:drawing>
      </w:r>
    </w:p>
    <w:p w14:paraId="1AD62C96" w14:textId="430E8287" w:rsidR="00801B20" w:rsidRDefault="00801B20" w:rsidP="00955A9B">
      <w:pPr>
        <w:spacing w:line="360" w:lineRule="auto"/>
        <w:jc w:val="both"/>
        <w:rPr>
          <w:rFonts w:ascii="Times New Roman" w:eastAsia="Times New Roman" w:hAnsi="Times New Roman" w:cs="Times New Roman"/>
          <w:b/>
          <w:sz w:val="24"/>
          <w:szCs w:val="24"/>
        </w:rPr>
      </w:pPr>
    </w:p>
    <w:p w14:paraId="07EA8C6E" w14:textId="77777777" w:rsidR="00801B20" w:rsidRPr="00955A9B" w:rsidRDefault="00801B20" w:rsidP="00955A9B">
      <w:pPr>
        <w:spacing w:line="360" w:lineRule="auto"/>
        <w:jc w:val="both"/>
        <w:rPr>
          <w:rFonts w:ascii="Times New Roman" w:eastAsia="Times New Roman" w:hAnsi="Times New Roman" w:cs="Times New Roman"/>
          <w:b/>
          <w:sz w:val="24"/>
          <w:szCs w:val="24"/>
        </w:rPr>
      </w:pPr>
    </w:p>
    <w:p w14:paraId="40B6FCB2" w14:textId="77777777" w:rsidR="0019021B" w:rsidRDefault="0019021B" w:rsidP="00955A9B">
      <w:pPr>
        <w:spacing w:line="360" w:lineRule="auto"/>
        <w:jc w:val="both"/>
        <w:rPr>
          <w:rFonts w:ascii="Times New Roman" w:eastAsia="Times New Roman" w:hAnsi="Times New Roman" w:cs="Times New Roman"/>
          <w:b/>
          <w:sz w:val="24"/>
          <w:szCs w:val="24"/>
        </w:rPr>
      </w:pPr>
    </w:p>
    <w:p w14:paraId="2C46D374" w14:textId="63D36AD9" w:rsidR="00955A9B" w:rsidRPr="00955A9B" w:rsidRDefault="00836B7B" w:rsidP="00955A9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Tabella 10</w:t>
      </w:r>
      <w:r w:rsidR="00955A9B" w:rsidRPr="00955A9B">
        <w:rPr>
          <w:rFonts w:ascii="Times New Roman" w:eastAsia="Times New Roman" w:hAnsi="Times New Roman" w:cs="Times New Roman"/>
          <w:b/>
          <w:sz w:val="24"/>
          <w:szCs w:val="24"/>
        </w:rPr>
        <w:t>. Percorso stadiativo-assistenziale per tumore dello stomaco</w:t>
      </w:r>
    </w:p>
    <w:tbl>
      <w:tblPr>
        <w:tblStyle w:val="Grigliatabella"/>
        <w:tblW w:w="0" w:type="auto"/>
        <w:tblLook w:val="04A0" w:firstRow="1" w:lastRow="0" w:firstColumn="1" w:lastColumn="0" w:noHBand="0" w:noVBand="1"/>
      </w:tblPr>
      <w:tblGrid>
        <w:gridCol w:w="4814"/>
        <w:gridCol w:w="4814"/>
      </w:tblGrid>
      <w:tr w:rsidR="00801B20" w14:paraId="13180A1A" w14:textId="77777777" w:rsidTr="00801B20">
        <w:tc>
          <w:tcPr>
            <w:tcW w:w="4814" w:type="dxa"/>
          </w:tcPr>
          <w:p w14:paraId="16373268" w14:textId="77777777" w:rsidR="00801B20" w:rsidRPr="00E82BB6" w:rsidRDefault="00801B20" w:rsidP="00E82BB6">
            <w:pPr>
              <w:spacing w:line="276" w:lineRule="auto"/>
              <w:jc w:val="both"/>
              <w:rPr>
                <w:rFonts w:ascii="Times New Roman" w:eastAsia="Times New Roman" w:hAnsi="Times New Roman" w:cs="Times New Roman"/>
                <w:b/>
              </w:rPr>
            </w:pPr>
            <w:r w:rsidRPr="00E82BB6">
              <w:rPr>
                <w:rFonts w:ascii="Times New Roman" w:eastAsia="Times New Roman" w:hAnsi="Times New Roman" w:cs="Times New Roman"/>
                <w:b/>
              </w:rPr>
              <w:t>Malattia localizzata</w:t>
            </w:r>
          </w:p>
          <w:p w14:paraId="481FB7E6" w14:textId="5E957907" w:rsidR="00801B20" w:rsidRPr="00E82BB6" w:rsidRDefault="00801B20" w:rsidP="00E82BB6">
            <w:pPr>
              <w:spacing w:line="276" w:lineRule="auto"/>
              <w:jc w:val="both"/>
              <w:rPr>
                <w:rFonts w:ascii="Times New Roman" w:eastAsia="Times New Roman" w:hAnsi="Times New Roman" w:cs="Times New Roman"/>
                <w:b/>
              </w:rPr>
            </w:pPr>
            <w:r w:rsidRPr="00E82BB6">
              <w:rPr>
                <w:rFonts w:ascii="Times New Roman" w:eastAsia="Times New Roman" w:hAnsi="Times New Roman" w:cs="Times New Roman"/>
                <w:b/>
              </w:rPr>
              <w:t>(candidata a neoadiuvante/ approccio definitivo)</w:t>
            </w:r>
          </w:p>
        </w:tc>
        <w:tc>
          <w:tcPr>
            <w:tcW w:w="4814" w:type="dxa"/>
          </w:tcPr>
          <w:p w14:paraId="38820357"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Anamnesi ed esame obiettivo</w:t>
            </w:r>
          </w:p>
          <w:p w14:paraId="6A979C4E"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Emocromo e routine ematochimica </w:t>
            </w:r>
          </w:p>
          <w:p w14:paraId="4D589989"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Marcatori tumorali (CEA, Ca 19.9) </w:t>
            </w:r>
          </w:p>
          <w:p w14:paraId="608AF763"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TC encefalo, collo, torace, addome e pelvi con mdc 18 FDG PET total body </w:t>
            </w:r>
          </w:p>
          <w:p w14:paraId="229EDE75"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Ecoendoscopia con biopsie multiple </w:t>
            </w:r>
          </w:p>
          <w:p w14:paraId="2339136A"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Valutazione anatomopatologica comprendente l’istotipo (adenoca vs squamoso) e grading Consueling oncogenetico se sospetta ereditarietà</w:t>
            </w:r>
          </w:p>
          <w:p w14:paraId="5B30FB46"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Consueling oncofertilità, se pazienti in età fertile con necessità di trattamenti antiblastici</w:t>
            </w:r>
          </w:p>
          <w:p w14:paraId="79290712"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Consueling psicologico </w:t>
            </w:r>
          </w:p>
          <w:p w14:paraId="55468622" w14:textId="77777777" w:rsidR="00185BB0"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Valutazione ORL (pervietà vie aeree, esclusione di seconde neoplasie del distretto testa-collo) Supporto nutrizionistico (enterale o parenterale) </w:t>
            </w:r>
          </w:p>
          <w:p w14:paraId="18F4F36F" w14:textId="77777777" w:rsidR="00185BB0" w:rsidRDefault="00801B20" w:rsidP="00E82BB6">
            <w:pPr>
              <w:spacing w:line="276" w:lineRule="auto"/>
              <w:jc w:val="both"/>
              <w:rPr>
                <w:rFonts w:ascii="Times New Roman" w:hAnsi="Times New Roman" w:cs="Times New Roman"/>
              </w:rPr>
            </w:pPr>
            <w:r w:rsidRPr="00185BB0">
              <w:rPr>
                <w:rFonts w:ascii="Times New Roman" w:hAnsi="Times New Roman" w:cs="Times New Roman"/>
                <w:b/>
                <w:bCs/>
              </w:rPr>
              <w:t>Esami di II livello in casi selezionati e/o sintomatici</w:t>
            </w:r>
            <w:r w:rsidRPr="00E82BB6">
              <w:rPr>
                <w:rFonts w:ascii="Times New Roman" w:hAnsi="Times New Roman" w:cs="Times New Roman"/>
              </w:rPr>
              <w:t xml:space="preserve">: </w:t>
            </w:r>
          </w:p>
          <w:p w14:paraId="7DA89D91" w14:textId="0D949A6D"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RMN addome con mdc</w:t>
            </w:r>
          </w:p>
          <w:p w14:paraId="6D93D111"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 Scintigrafia ossea total body</w:t>
            </w:r>
          </w:p>
          <w:p w14:paraId="03DEBD7D" w14:textId="470A65AE"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 Broncoscopia (esofago cervicale e toracico superiore-medio)</w:t>
            </w:r>
          </w:p>
        </w:tc>
      </w:tr>
      <w:tr w:rsidR="00801B20" w14:paraId="419A9BEF" w14:textId="77777777" w:rsidTr="00801B20">
        <w:tc>
          <w:tcPr>
            <w:tcW w:w="4814" w:type="dxa"/>
          </w:tcPr>
          <w:p w14:paraId="20CB3FB8" w14:textId="742F3D1D" w:rsidR="00801B20" w:rsidRPr="00E82BB6" w:rsidRDefault="00801B20" w:rsidP="00E82BB6">
            <w:pPr>
              <w:spacing w:line="276" w:lineRule="auto"/>
              <w:jc w:val="both"/>
              <w:rPr>
                <w:rFonts w:ascii="Times New Roman" w:eastAsia="Times New Roman" w:hAnsi="Times New Roman" w:cs="Times New Roman"/>
                <w:b/>
              </w:rPr>
            </w:pPr>
            <w:r w:rsidRPr="00E82BB6">
              <w:rPr>
                <w:rFonts w:ascii="Times New Roman" w:hAnsi="Times New Roman" w:cs="Times New Roman"/>
                <w:b/>
              </w:rPr>
              <w:t>Malattia localmente avanzata</w:t>
            </w:r>
          </w:p>
        </w:tc>
        <w:tc>
          <w:tcPr>
            <w:tcW w:w="4814" w:type="dxa"/>
          </w:tcPr>
          <w:p w14:paraId="78DDDF87"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Anamnesi ed esame obiettivo </w:t>
            </w:r>
          </w:p>
          <w:p w14:paraId="1B3AEE52"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Emocromo e routine ematochimica </w:t>
            </w:r>
          </w:p>
          <w:p w14:paraId="6A2CE383" w14:textId="77777777" w:rsidR="00801B20"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Marcatori tumorali (CEA, Ca 19.9, Ca 125) </w:t>
            </w:r>
          </w:p>
          <w:p w14:paraId="0380C1F9" w14:textId="1B7CEB0C"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TC encefalo, collo, torace, addome e pelvi con mdc EGDS o Ecoendoscopia con biopsie multiple Valutazione anatomopatologica comprendente istotipo e la determinazione dello stato di PD-L1 CPS</w:t>
            </w:r>
            <w:r w:rsidR="00BF6BAB">
              <w:rPr>
                <w:rFonts w:ascii="Times New Roman" w:hAnsi="Times New Roman" w:cs="Times New Roman"/>
              </w:rPr>
              <w:t xml:space="preserve"> e TPS</w:t>
            </w:r>
            <w:r w:rsidR="00AD1D9C">
              <w:rPr>
                <w:rFonts w:ascii="Times New Roman" w:hAnsi="Times New Roman" w:cs="Times New Roman"/>
              </w:rPr>
              <w:t xml:space="preserve">; </w:t>
            </w:r>
            <w:r w:rsidRPr="00E82BB6">
              <w:rPr>
                <w:rFonts w:ascii="Times New Roman" w:hAnsi="Times New Roman" w:cs="Times New Roman"/>
              </w:rPr>
              <w:t xml:space="preserve"> HER2 </w:t>
            </w:r>
            <w:r w:rsidR="00AD1D9C">
              <w:rPr>
                <w:rFonts w:ascii="Times New Roman" w:hAnsi="Times New Roman" w:cs="Times New Roman"/>
              </w:rPr>
              <w:t xml:space="preserve">solo </w:t>
            </w:r>
            <w:r w:rsidRPr="00E82BB6">
              <w:rPr>
                <w:rFonts w:ascii="Times New Roman" w:hAnsi="Times New Roman" w:cs="Times New Roman"/>
              </w:rPr>
              <w:t>se adenocarcinoma distale</w:t>
            </w:r>
            <w:r w:rsidR="00AD1D9C">
              <w:rPr>
                <w:rFonts w:ascii="Times New Roman" w:hAnsi="Times New Roman" w:cs="Times New Roman"/>
              </w:rPr>
              <w:t>.</w:t>
            </w:r>
            <w:r w:rsidRPr="00E82BB6">
              <w:rPr>
                <w:rFonts w:ascii="Times New Roman" w:hAnsi="Times New Roman" w:cs="Times New Roman"/>
              </w:rPr>
              <w:t xml:space="preserve"> Consueling oncogenetico se sospetta</w:t>
            </w:r>
          </w:p>
          <w:p w14:paraId="188A8420"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 Ereditarietà</w:t>
            </w:r>
          </w:p>
          <w:p w14:paraId="2BC4D4EC"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Valutazione ORL (pervietà vie aeree) </w:t>
            </w:r>
          </w:p>
          <w:p w14:paraId="4D8A38AE"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Consueling oncofertilità, se pazienti in età fertile con necessità di trattamenti antiblastici </w:t>
            </w:r>
          </w:p>
          <w:p w14:paraId="28BC0D6F"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Consueling psicologico </w:t>
            </w:r>
          </w:p>
          <w:p w14:paraId="37BED1EF"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Supporto nutrizionistico (enterale o parenterale) Valutazione del dolore e terapia antalgica </w:t>
            </w:r>
          </w:p>
          <w:p w14:paraId="0DA984F3" w14:textId="77777777" w:rsidR="00185BB0" w:rsidRDefault="00801B20" w:rsidP="00E82BB6">
            <w:pPr>
              <w:spacing w:line="276" w:lineRule="auto"/>
              <w:jc w:val="both"/>
              <w:rPr>
                <w:rFonts w:ascii="Times New Roman" w:hAnsi="Times New Roman" w:cs="Times New Roman"/>
              </w:rPr>
            </w:pPr>
            <w:r w:rsidRPr="00185BB0">
              <w:rPr>
                <w:rFonts w:ascii="Times New Roman" w:hAnsi="Times New Roman" w:cs="Times New Roman"/>
                <w:b/>
                <w:bCs/>
              </w:rPr>
              <w:t>Esami di II livello in casi selezionati e/o sintomatici</w:t>
            </w:r>
            <w:r w:rsidRPr="00E82BB6">
              <w:rPr>
                <w:rFonts w:ascii="Times New Roman" w:hAnsi="Times New Roman" w:cs="Times New Roman"/>
              </w:rPr>
              <w:t xml:space="preserve">: </w:t>
            </w:r>
          </w:p>
          <w:p w14:paraId="2D361B81" w14:textId="082BA6C5"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RMN addome con mdc </w:t>
            </w:r>
          </w:p>
          <w:p w14:paraId="573E2644"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RMN encefalo </w:t>
            </w:r>
          </w:p>
          <w:p w14:paraId="65B5EF42"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18 FDG PET total body </w:t>
            </w:r>
          </w:p>
          <w:p w14:paraId="30582BF1" w14:textId="683DEEDE"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Broncoscopia (esofago cervicale e toracico superiore-medio)</w:t>
            </w:r>
          </w:p>
        </w:tc>
      </w:tr>
      <w:tr w:rsidR="00801B20" w14:paraId="2F983427" w14:textId="77777777" w:rsidTr="00801B20">
        <w:tc>
          <w:tcPr>
            <w:tcW w:w="4814" w:type="dxa"/>
          </w:tcPr>
          <w:p w14:paraId="1049D1A2" w14:textId="5124369E" w:rsidR="00801B20" w:rsidRPr="00E82BB6" w:rsidRDefault="00801B20" w:rsidP="00E82BB6">
            <w:pPr>
              <w:spacing w:line="276" w:lineRule="auto"/>
              <w:jc w:val="both"/>
              <w:rPr>
                <w:rFonts w:ascii="Times New Roman" w:hAnsi="Times New Roman" w:cs="Times New Roman"/>
                <w:b/>
              </w:rPr>
            </w:pPr>
            <w:r w:rsidRPr="00E82BB6">
              <w:rPr>
                <w:rFonts w:ascii="Times New Roman" w:hAnsi="Times New Roman" w:cs="Times New Roman"/>
                <w:b/>
              </w:rPr>
              <w:t>Malattia metastatica</w:t>
            </w:r>
          </w:p>
        </w:tc>
        <w:tc>
          <w:tcPr>
            <w:tcW w:w="4814" w:type="dxa"/>
          </w:tcPr>
          <w:p w14:paraId="41D8F514"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Anamnesi ed esame obiettivo </w:t>
            </w:r>
          </w:p>
          <w:p w14:paraId="6C3E2308"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Emocromo e routine ematochimica </w:t>
            </w:r>
          </w:p>
          <w:p w14:paraId="7E6C8DBD"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Marcatori tumorali (CEA, Ca 19.9, Ca 125) </w:t>
            </w:r>
          </w:p>
          <w:p w14:paraId="60E44963"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TC encefalo, collo, torace, addome e pelvi con mdc EGDS con biopsie multiple </w:t>
            </w:r>
          </w:p>
          <w:p w14:paraId="23A54FA1" w14:textId="1FED9B11"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Valutazione anatomopatologica comprendente l’istotipo e la determinazione dello stato di PD-L1 CPS </w:t>
            </w:r>
            <w:r w:rsidR="00BF6BAB">
              <w:rPr>
                <w:rFonts w:ascii="Times New Roman" w:hAnsi="Times New Roman" w:cs="Times New Roman"/>
              </w:rPr>
              <w:t xml:space="preserve">e TPS </w:t>
            </w:r>
            <w:r w:rsidRPr="00E82BB6">
              <w:rPr>
                <w:rFonts w:ascii="Times New Roman" w:hAnsi="Times New Roman" w:cs="Times New Roman"/>
              </w:rPr>
              <w:t>(HER2 se adenocarcinoma distale)</w:t>
            </w:r>
            <w:r w:rsidR="00AD1D9C">
              <w:rPr>
                <w:rFonts w:ascii="Times New Roman" w:hAnsi="Times New Roman" w:cs="Times New Roman"/>
              </w:rPr>
              <w:t>.</w:t>
            </w:r>
            <w:r w:rsidRPr="00E82BB6">
              <w:rPr>
                <w:rFonts w:ascii="Times New Roman" w:hAnsi="Times New Roman" w:cs="Times New Roman"/>
              </w:rPr>
              <w:t xml:space="preserve"> </w:t>
            </w:r>
          </w:p>
          <w:p w14:paraId="248F277D"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Consueling oncogenetico se sospetta ereditarietà Consueling oncofertilità, se pazienti in età fertile con necessità di trattamenti antiblastici </w:t>
            </w:r>
          </w:p>
          <w:p w14:paraId="50B54369"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Consueling psicologico </w:t>
            </w:r>
          </w:p>
          <w:p w14:paraId="56DF1276" w14:textId="77777777" w:rsidR="00801B20"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Supporto nutrizionistico </w:t>
            </w:r>
          </w:p>
          <w:p w14:paraId="3252D8FC" w14:textId="77777777" w:rsidR="00E82BB6"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 xml:space="preserve">Valutazione del dolore e terapia antalgica </w:t>
            </w:r>
          </w:p>
          <w:p w14:paraId="1F9A41C6" w14:textId="679FB034" w:rsidR="00E82BB6" w:rsidRPr="00185BB0" w:rsidRDefault="00801B20" w:rsidP="00E82BB6">
            <w:pPr>
              <w:spacing w:line="276" w:lineRule="auto"/>
              <w:jc w:val="both"/>
              <w:rPr>
                <w:rFonts w:ascii="Times New Roman" w:hAnsi="Times New Roman" w:cs="Times New Roman"/>
                <w:b/>
                <w:bCs/>
              </w:rPr>
            </w:pPr>
            <w:r w:rsidRPr="00185BB0">
              <w:rPr>
                <w:rFonts w:ascii="Times New Roman" w:hAnsi="Times New Roman" w:cs="Times New Roman"/>
                <w:b/>
                <w:bCs/>
              </w:rPr>
              <w:t xml:space="preserve">Esami di II livello in casi selezionati e/o </w:t>
            </w:r>
            <w:r w:rsidR="00185BB0">
              <w:rPr>
                <w:rFonts w:ascii="Times New Roman" w:hAnsi="Times New Roman" w:cs="Times New Roman"/>
                <w:b/>
                <w:bCs/>
              </w:rPr>
              <w:t>sintomatici</w:t>
            </w:r>
          </w:p>
          <w:p w14:paraId="53C07713" w14:textId="77777777" w:rsidR="00E82BB6" w:rsidRPr="00E82BB6" w:rsidRDefault="00801B20" w:rsidP="00E82BB6">
            <w:pPr>
              <w:spacing w:line="276" w:lineRule="auto"/>
              <w:jc w:val="both"/>
              <w:rPr>
                <w:rFonts w:ascii="Times New Roman" w:hAnsi="Times New Roman" w:cs="Times New Roman"/>
              </w:rPr>
            </w:pPr>
            <w:r w:rsidRPr="00E82BB6">
              <w:rPr>
                <w:rFonts w:ascii="Times New Roman" w:hAnsi="Times New Roman" w:cs="Times New Roman"/>
              </w:rPr>
              <w:t>Valutazione per palliazione della disfagia (protesi/RT/etc)</w:t>
            </w:r>
            <w:r w:rsidR="00E82BB6" w:rsidRPr="00E82BB6">
              <w:rPr>
                <w:rFonts w:ascii="Times New Roman" w:hAnsi="Times New Roman" w:cs="Times New Roman"/>
              </w:rPr>
              <w:t xml:space="preserve"> </w:t>
            </w:r>
          </w:p>
          <w:p w14:paraId="21BD62B5" w14:textId="77777777" w:rsidR="00E82BB6" w:rsidRPr="00E82BB6" w:rsidRDefault="00E82BB6" w:rsidP="00E82BB6">
            <w:pPr>
              <w:spacing w:line="276" w:lineRule="auto"/>
              <w:jc w:val="both"/>
              <w:rPr>
                <w:rFonts w:ascii="Times New Roman" w:hAnsi="Times New Roman" w:cs="Times New Roman"/>
              </w:rPr>
            </w:pPr>
            <w:r w:rsidRPr="00E82BB6">
              <w:rPr>
                <w:rFonts w:ascii="Times New Roman" w:hAnsi="Times New Roman" w:cs="Times New Roman"/>
              </w:rPr>
              <w:t xml:space="preserve">sintomatici: </w:t>
            </w:r>
          </w:p>
          <w:p w14:paraId="6293A77B" w14:textId="77777777" w:rsidR="00E82BB6" w:rsidRPr="00E82BB6" w:rsidRDefault="00E82BB6" w:rsidP="00E82BB6">
            <w:pPr>
              <w:spacing w:line="276" w:lineRule="auto"/>
              <w:jc w:val="both"/>
              <w:rPr>
                <w:rFonts w:ascii="Times New Roman" w:hAnsi="Times New Roman" w:cs="Times New Roman"/>
              </w:rPr>
            </w:pPr>
            <w:r w:rsidRPr="00E82BB6">
              <w:rPr>
                <w:rFonts w:ascii="Times New Roman" w:hAnsi="Times New Roman" w:cs="Times New Roman"/>
              </w:rPr>
              <w:t xml:space="preserve">RMN addome con mdc </w:t>
            </w:r>
          </w:p>
          <w:p w14:paraId="4B28FE88" w14:textId="77777777" w:rsidR="00E82BB6" w:rsidRPr="00E82BB6" w:rsidRDefault="00E82BB6" w:rsidP="00E82BB6">
            <w:pPr>
              <w:spacing w:line="276" w:lineRule="auto"/>
              <w:jc w:val="both"/>
              <w:rPr>
                <w:rFonts w:ascii="Times New Roman" w:hAnsi="Times New Roman" w:cs="Times New Roman"/>
              </w:rPr>
            </w:pPr>
            <w:r w:rsidRPr="00E82BB6">
              <w:rPr>
                <w:rFonts w:ascii="Times New Roman" w:hAnsi="Times New Roman" w:cs="Times New Roman"/>
              </w:rPr>
              <w:t xml:space="preserve">RMN encefalo </w:t>
            </w:r>
          </w:p>
          <w:p w14:paraId="5B445693" w14:textId="77777777" w:rsidR="00E82BB6" w:rsidRPr="00E82BB6" w:rsidRDefault="00E82BB6" w:rsidP="00E82BB6">
            <w:pPr>
              <w:spacing w:line="276" w:lineRule="auto"/>
              <w:jc w:val="both"/>
              <w:rPr>
                <w:rFonts w:ascii="Times New Roman" w:hAnsi="Times New Roman" w:cs="Times New Roman"/>
              </w:rPr>
            </w:pPr>
            <w:r w:rsidRPr="00E82BB6">
              <w:rPr>
                <w:rFonts w:ascii="Times New Roman" w:hAnsi="Times New Roman" w:cs="Times New Roman"/>
              </w:rPr>
              <w:t xml:space="preserve">Scintigrafia ossea total body </w:t>
            </w:r>
          </w:p>
          <w:p w14:paraId="7AFBF94F" w14:textId="7248507A" w:rsidR="00801B20" w:rsidRPr="00E82BB6" w:rsidRDefault="00E82BB6" w:rsidP="00E82BB6">
            <w:pPr>
              <w:spacing w:line="276" w:lineRule="auto"/>
              <w:jc w:val="both"/>
              <w:rPr>
                <w:rFonts w:ascii="Times New Roman" w:hAnsi="Times New Roman" w:cs="Times New Roman"/>
              </w:rPr>
            </w:pPr>
            <w:r w:rsidRPr="00E82BB6">
              <w:rPr>
                <w:rFonts w:ascii="Times New Roman" w:hAnsi="Times New Roman" w:cs="Times New Roman"/>
              </w:rPr>
              <w:t>18 FDG-PET total body</w:t>
            </w:r>
          </w:p>
        </w:tc>
      </w:tr>
    </w:tbl>
    <w:p w14:paraId="07B2C62D" w14:textId="77777777" w:rsidR="00955A9B" w:rsidRPr="00955A9B" w:rsidRDefault="00955A9B" w:rsidP="00955A9B">
      <w:pPr>
        <w:spacing w:line="360" w:lineRule="auto"/>
        <w:jc w:val="both"/>
        <w:rPr>
          <w:rFonts w:ascii="Times New Roman" w:eastAsia="Times New Roman" w:hAnsi="Times New Roman" w:cs="Times New Roman"/>
          <w:b/>
          <w:sz w:val="24"/>
          <w:szCs w:val="24"/>
        </w:rPr>
      </w:pPr>
    </w:p>
    <w:p w14:paraId="170F21FF" w14:textId="13DA92E8" w:rsidR="00955A9B" w:rsidRPr="00955A9B" w:rsidRDefault="00836B7B" w:rsidP="00955A9B">
      <w:pPr>
        <w:tabs>
          <w:tab w:val="left" w:pos="159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 tabella 11</w:t>
      </w:r>
      <w:r w:rsidR="00955A9B" w:rsidRPr="00955A9B">
        <w:rPr>
          <w:rFonts w:ascii="Times New Roman" w:hAnsi="Times New Roman" w:cs="Times New Roman"/>
          <w:b/>
          <w:bCs/>
          <w:sz w:val="24"/>
          <w:szCs w:val="24"/>
        </w:rPr>
        <w:t xml:space="preserve"> riassume gli esami diagnostico / stadiativi per il carcinoma esofageo localizzato.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1"/>
      </w:tblGrid>
      <w:tr w:rsidR="00955A9B" w:rsidRPr="00955A9B" w14:paraId="6FFA2A67" w14:textId="77777777" w:rsidTr="00AE73EE">
        <w:tc>
          <w:tcPr>
            <w:tcW w:w="4886" w:type="dxa"/>
            <w:shd w:val="clear" w:color="auto" w:fill="auto"/>
          </w:tcPr>
          <w:p w14:paraId="3A97FDE4"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TIPOLOGIA DI ESAME </w:t>
            </w:r>
          </w:p>
        </w:tc>
        <w:tc>
          <w:tcPr>
            <w:tcW w:w="4886" w:type="dxa"/>
            <w:shd w:val="clear" w:color="auto" w:fill="auto"/>
          </w:tcPr>
          <w:p w14:paraId="73F3EDE4"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APPROPRIATEZZA</w:t>
            </w:r>
          </w:p>
        </w:tc>
      </w:tr>
      <w:tr w:rsidR="00955A9B" w:rsidRPr="00955A9B" w14:paraId="0424F440" w14:textId="77777777" w:rsidTr="00AE73EE">
        <w:tc>
          <w:tcPr>
            <w:tcW w:w="4886" w:type="dxa"/>
            <w:shd w:val="clear" w:color="auto" w:fill="auto"/>
          </w:tcPr>
          <w:p w14:paraId="6B39A4E1"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EGDS con biopsia multiple</w:t>
            </w:r>
          </w:p>
        </w:tc>
        <w:tc>
          <w:tcPr>
            <w:tcW w:w="4886" w:type="dxa"/>
            <w:shd w:val="clear" w:color="auto" w:fill="auto"/>
          </w:tcPr>
          <w:p w14:paraId="1D77487F"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(diagnosi)</w:t>
            </w:r>
          </w:p>
        </w:tc>
      </w:tr>
      <w:tr w:rsidR="00955A9B" w:rsidRPr="00955A9B" w14:paraId="0F4CE2AF" w14:textId="77777777" w:rsidTr="00AE73EE">
        <w:tc>
          <w:tcPr>
            <w:tcW w:w="4886" w:type="dxa"/>
            <w:shd w:val="clear" w:color="auto" w:fill="auto"/>
          </w:tcPr>
          <w:p w14:paraId="18BAF300"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Ecoendoscopia</w:t>
            </w:r>
          </w:p>
        </w:tc>
        <w:tc>
          <w:tcPr>
            <w:tcW w:w="4886" w:type="dxa"/>
            <w:shd w:val="clear" w:color="auto" w:fill="auto"/>
          </w:tcPr>
          <w:p w14:paraId="5708FFDF"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Appropriata </w:t>
            </w:r>
          </w:p>
        </w:tc>
      </w:tr>
      <w:tr w:rsidR="00955A9B" w:rsidRPr="00955A9B" w14:paraId="24EC74DE" w14:textId="77777777" w:rsidTr="00AE73EE">
        <w:tc>
          <w:tcPr>
            <w:tcW w:w="4886" w:type="dxa"/>
            <w:shd w:val="clear" w:color="auto" w:fill="auto"/>
          </w:tcPr>
          <w:p w14:paraId="13A110CB"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TC encefalo, collo, torace, addome e pelvi con e senza mdc</w:t>
            </w:r>
          </w:p>
        </w:tc>
        <w:tc>
          <w:tcPr>
            <w:tcW w:w="4886" w:type="dxa"/>
            <w:shd w:val="clear" w:color="auto" w:fill="auto"/>
          </w:tcPr>
          <w:p w14:paraId="250DFE96"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266101E1" w14:textId="77777777" w:rsidTr="00AE73EE">
        <w:tc>
          <w:tcPr>
            <w:tcW w:w="4886" w:type="dxa"/>
            <w:shd w:val="clear" w:color="auto" w:fill="auto"/>
          </w:tcPr>
          <w:p w14:paraId="1E4C4137" w14:textId="77777777" w:rsidR="00955A9B" w:rsidRPr="00955A9B" w:rsidRDefault="00955A9B" w:rsidP="00955A9B">
            <w:pPr>
              <w:tabs>
                <w:tab w:val="left" w:pos="1595"/>
              </w:tabs>
              <w:spacing w:line="360"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18-FDG PET/TC Total Body</w:t>
            </w:r>
          </w:p>
        </w:tc>
        <w:tc>
          <w:tcPr>
            <w:tcW w:w="4886" w:type="dxa"/>
            <w:shd w:val="clear" w:color="auto" w:fill="auto"/>
          </w:tcPr>
          <w:p w14:paraId="6E6EA947"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Appropriata </w:t>
            </w:r>
          </w:p>
        </w:tc>
      </w:tr>
      <w:tr w:rsidR="00955A9B" w:rsidRPr="00955A9B" w14:paraId="09F4DD79" w14:textId="77777777" w:rsidTr="00AE73EE">
        <w:tc>
          <w:tcPr>
            <w:tcW w:w="4886" w:type="dxa"/>
            <w:shd w:val="clear" w:color="auto" w:fill="auto"/>
          </w:tcPr>
          <w:p w14:paraId="7291DC97"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Scintigrafia ossea total body</w:t>
            </w:r>
          </w:p>
        </w:tc>
        <w:tc>
          <w:tcPr>
            <w:tcW w:w="4886" w:type="dxa"/>
            <w:shd w:val="clear" w:color="auto" w:fill="auto"/>
          </w:tcPr>
          <w:p w14:paraId="60C89479"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7CFC6AE0" w14:textId="77777777" w:rsidTr="00AE73EE">
        <w:tc>
          <w:tcPr>
            <w:tcW w:w="4886" w:type="dxa"/>
            <w:shd w:val="clear" w:color="auto" w:fill="auto"/>
          </w:tcPr>
          <w:p w14:paraId="11E11392"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RMN addome (o altro distretto) con mdc</w:t>
            </w:r>
          </w:p>
        </w:tc>
        <w:tc>
          <w:tcPr>
            <w:tcW w:w="4886" w:type="dxa"/>
            <w:shd w:val="clear" w:color="auto" w:fill="auto"/>
          </w:tcPr>
          <w:p w14:paraId="02B88CC1"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1D1738B5" w14:textId="77777777" w:rsidTr="00AE73EE">
        <w:tc>
          <w:tcPr>
            <w:tcW w:w="4886" w:type="dxa"/>
            <w:shd w:val="clear" w:color="auto" w:fill="auto"/>
          </w:tcPr>
          <w:p w14:paraId="7A9D1E5E"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Broncoscopia</w:t>
            </w:r>
          </w:p>
        </w:tc>
        <w:tc>
          <w:tcPr>
            <w:tcW w:w="4886" w:type="dxa"/>
            <w:shd w:val="clear" w:color="auto" w:fill="auto"/>
          </w:tcPr>
          <w:p w14:paraId="78A2EAD0"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bl>
    <w:p w14:paraId="1EE73712" w14:textId="77777777" w:rsidR="00955A9B" w:rsidRPr="00955A9B" w:rsidRDefault="00955A9B" w:rsidP="00955A9B">
      <w:pPr>
        <w:spacing w:line="360" w:lineRule="auto"/>
        <w:jc w:val="both"/>
        <w:rPr>
          <w:rFonts w:ascii="Times New Roman" w:eastAsia="Times New Roman" w:hAnsi="Times New Roman" w:cs="Times New Roman"/>
          <w:sz w:val="24"/>
          <w:szCs w:val="24"/>
        </w:rPr>
      </w:pPr>
    </w:p>
    <w:p w14:paraId="58218548" w14:textId="77777777" w:rsidR="00E82BB6" w:rsidRDefault="00E82BB6" w:rsidP="00955A9B">
      <w:pPr>
        <w:tabs>
          <w:tab w:val="left" w:pos="1595"/>
        </w:tabs>
        <w:spacing w:line="360" w:lineRule="auto"/>
        <w:jc w:val="both"/>
        <w:rPr>
          <w:rFonts w:ascii="Times New Roman" w:hAnsi="Times New Roman" w:cs="Times New Roman"/>
          <w:b/>
          <w:bCs/>
          <w:sz w:val="24"/>
          <w:szCs w:val="24"/>
        </w:rPr>
      </w:pPr>
    </w:p>
    <w:p w14:paraId="6B90EF6C" w14:textId="77777777" w:rsidR="00E82BB6" w:rsidRDefault="00E82BB6" w:rsidP="00955A9B">
      <w:pPr>
        <w:tabs>
          <w:tab w:val="left" w:pos="1595"/>
        </w:tabs>
        <w:spacing w:line="360" w:lineRule="auto"/>
        <w:jc w:val="both"/>
        <w:rPr>
          <w:rFonts w:ascii="Times New Roman" w:hAnsi="Times New Roman" w:cs="Times New Roman"/>
          <w:b/>
          <w:bCs/>
          <w:sz w:val="24"/>
          <w:szCs w:val="24"/>
        </w:rPr>
      </w:pPr>
    </w:p>
    <w:p w14:paraId="273873AC" w14:textId="54C3834C" w:rsidR="00955A9B" w:rsidRPr="00955A9B" w:rsidRDefault="00836B7B" w:rsidP="00955A9B">
      <w:pPr>
        <w:tabs>
          <w:tab w:val="left" w:pos="159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 tabella 12</w:t>
      </w:r>
      <w:r w:rsidR="00955A9B" w:rsidRPr="00955A9B">
        <w:rPr>
          <w:rFonts w:ascii="Times New Roman" w:hAnsi="Times New Roman" w:cs="Times New Roman"/>
          <w:b/>
          <w:bCs/>
          <w:sz w:val="24"/>
          <w:szCs w:val="24"/>
        </w:rPr>
        <w:t xml:space="preserve"> riassume gli esami diagnostico/stadiativi per il carcinoma esofageo localmente avanzato.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1"/>
      </w:tblGrid>
      <w:tr w:rsidR="00955A9B" w:rsidRPr="00955A9B" w14:paraId="0198432C" w14:textId="77777777" w:rsidTr="00AE73EE">
        <w:tc>
          <w:tcPr>
            <w:tcW w:w="4886" w:type="dxa"/>
            <w:shd w:val="clear" w:color="auto" w:fill="auto"/>
          </w:tcPr>
          <w:p w14:paraId="3BBA67EC"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TIPOLOGIA DI ESAME </w:t>
            </w:r>
          </w:p>
        </w:tc>
        <w:tc>
          <w:tcPr>
            <w:tcW w:w="4886" w:type="dxa"/>
            <w:shd w:val="clear" w:color="auto" w:fill="auto"/>
          </w:tcPr>
          <w:p w14:paraId="7931ABC9"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APPROPRIATEZZA</w:t>
            </w:r>
          </w:p>
        </w:tc>
      </w:tr>
      <w:tr w:rsidR="00955A9B" w:rsidRPr="00955A9B" w14:paraId="0BB11D74" w14:textId="77777777" w:rsidTr="00AE73EE">
        <w:tc>
          <w:tcPr>
            <w:tcW w:w="4886" w:type="dxa"/>
            <w:shd w:val="clear" w:color="auto" w:fill="auto"/>
          </w:tcPr>
          <w:p w14:paraId="495599EB"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EGDS con biopsia multiple</w:t>
            </w:r>
          </w:p>
        </w:tc>
        <w:tc>
          <w:tcPr>
            <w:tcW w:w="4886" w:type="dxa"/>
            <w:shd w:val="clear" w:color="auto" w:fill="auto"/>
          </w:tcPr>
          <w:p w14:paraId="73FEA948"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(diagnosi)</w:t>
            </w:r>
          </w:p>
        </w:tc>
      </w:tr>
      <w:tr w:rsidR="00955A9B" w:rsidRPr="00955A9B" w14:paraId="423827F0" w14:textId="77777777" w:rsidTr="00AE73EE">
        <w:tc>
          <w:tcPr>
            <w:tcW w:w="4886" w:type="dxa"/>
            <w:shd w:val="clear" w:color="auto" w:fill="auto"/>
          </w:tcPr>
          <w:p w14:paraId="24C3AD01"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Ecoendoscopia</w:t>
            </w:r>
          </w:p>
        </w:tc>
        <w:tc>
          <w:tcPr>
            <w:tcW w:w="4886" w:type="dxa"/>
            <w:shd w:val="clear" w:color="auto" w:fill="auto"/>
          </w:tcPr>
          <w:p w14:paraId="01D0CC3E"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4C7A7BC3" w14:textId="77777777" w:rsidTr="00AE73EE">
        <w:tc>
          <w:tcPr>
            <w:tcW w:w="4886" w:type="dxa"/>
            <w:shd w:val="clear" w:color="auto" w:fill="auto"/>
          </w:tcPr>
          <w:p w14:paraId="7F60EB9E" w14:textId="5A7DFAC8"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TC encefalo, </w:t>
            </w:r>
            <w:r w:rsidR="00E82BB6" w:rsidRPr="00955A9B">
              <w:rPr>
                <w:rFonts w:ascii="Times New Roman" w:eastAsia="Yu Mincho" w:hAnsi="Times New Roman" w:cs="Times New Roman"/>
                <w:szCs w:val="24"/>
              </w:rPr>
              <w:t>collo, torace-addome-pelvi</w:t>
            </w:r>
            <w:r w:rsidRPr="00955A9B">
              <w:rPr>
                <w:rFonts w:ascii="Times New Roman" w:eastAsia="Yu Mincho" w:hAnsi="Times New Roman" w:cs="Times New Roman"/>
                <w:szCs w:val="24"/>
              </w:rPr>
              <w:t xml:space="preserve"> con e senza mdc</w:t>
            </w:r>
          </w:p>
        </w:tc>
        <w:tc>
          <w:tcPr>
            <w:tcW w:w="4886" w:type="dxa"/>
            <w:shd w:val="clear" w:color="auto" w:fill="auto"/>
          </w:tcPr>
          <w:p w14:paraId="443BFD8A"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20FC15AA" w14:textId="77777777" w:rsidTr="00AE73EE">
        <w:tc>
          <w:tcPr>
            <w:tcW w:w="4886" w:type="dxa"/>
            <w:shd w:val="clear" w:color="auto" w:fill="auto"/>
          </w:tcPr>
          <w:p w14:paraId="11EABF82" w14:textId="77777777" w:rsidR="00955A9B" w:rsidRPr="00955A9B" w:rsidRDefault="00955A9B" w:rsidP="00955A9B">
            <w:pPr>
              <w:tabs>
                <w:tab w:val="left" w:pos="1595"/>
              </w:tabs>
              <w:spacing w:line="360"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18-FDG PET/TC Total Body</w:t>
            </w:r>
          </w:p>
        </w:tc>
        <w:tc>
          <w:tcPr>
            <w:tcW w:w="4886" w:type="dxa"/>
            <w:shd w:val="clear" w:color="auto" w:fill="auto"/>
          </w:tcPr>
          <w:p w14:paraId="75C1A5A1"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Appropriata </w:t>
            </w:r>
          </w:p>
        </w:tc>
      </w:tr>
      <w:tr w:rsidR="00955A9B" w:rsidRPr="00955A9B" w14:paraId="789B76CE" w14:textId="77777777" w:rsidTr="00AE73EE">
        <w:tc>
          <w:tcPr>
            <w:tcW w:w="4886" w:type="dxa"/>
            <w:shd w:val="clear" w:color="auto" w:fill="auto"/>
          </w:tcPr>
          <w:p w14:paraId="01D7DE1F"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Scintigrafia ossea total body</w:t>
            </w:r>
          </w:p>
        </w:tc>
        <w:tc>
          <w:tcPr>
            <w:tcW w:w="4886" w:type="dxa"/>
            <w:shd w:val="clear" w:color="auto" w:fill="auto"/>
          </w:tcPr>
          <w:p w14:paraId="51710A0D"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29853719" w14:textId="77777777" w:rsidTr="00AE73EE">
        <w:tc>
          <w:tcPr>
            <w:tcW w:w="4886" w:type="dxa"/>
            <w:shd w:val="clear" w:color="auto" w:fill="auto"/>
          </w:tcPr>
          <w:p w14:paraId="7F29A4C2"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RMN addome con mdc</w:t>
            </w:r>
          </w:p>
        </w:tc>
        <w:tc>
          <w:tcPr>
            <w:tcW w:w="4886" w:type="dxa"/>
            <w:shd w:val="clear" w:color="auto" w:fill="auto"/>
          </w:tcPr>
          <w:p w14:paraId="7BA2A447"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1B663331" w14:textId="77777777" w:rsidTr="00AE73EE">
        <w:tc>
          <w:tcPr>
            <w:tcW w:w="4886" w:type="dxa"/>
            <w:shd w:val="clear" w:color="auto" w:fill="auto"/>
          </w:tcPr>
          <w:p w14:paraId="769F84EF"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RMN encefalo con mdc</w:t>
            </w:r>
          </w:p>
        </w:tc>
        <w:tc>
          <w:tcPr>
            <w:tcW w:w="4886" w:type="dxa"/>
            <w:shd w:val="clear" w:color="auto" w:fill="auto"/>
          </w:tcPr>
          <w:p w14:paraId="60BBB045"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4CD5919B" w14:textId="77777777" w:rsidTr="00AE73EE">
        <w:tc>
          <w:tcPr>
            <w:tcW w:w="4886" w:type="dxa"/>
            <w:shd w:val="clear" w:color="auto" w:fill="auto"/>
          </w:tcPr>
          <w:p w14:paraId="3AC69666"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Broncoscopia</w:t>
            </w:r>
          </w:p>
        </w:tc>
        <w:tc>
          <w:tcPr>
            <w:tcW w:w="4886" w:type="dxa"/>
            <w:shd w:val="clear" w:color="auto" w:fill="auto"/>
          </w:tcPr>
          <w:p w14:paraId="6F849859"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bl>
    <w:p w14:paraId="383FCA24" w14:textId="77777777" w:rsidR="00955A9B" w:rsidRPr="00955A9B" w:rsidRDefault="00955A9B" w:rsidP="00955A9B">
      <w:pPr>
        <w:spacing w:line="360" w:lineRule="auto"/>
        <w:jc w:val="both"/>
        <w:rPr>
          <w:rFonts w:ascii="Times New Roman" w:eastAsia="Times New Roman" w:hAnsi="Times New Roman" w:cs="Times New Roman"/>
          <w:sz w:val="24"/>
          <w:szCs w:val="24"/>
        </w:rPr>
      </w:pPr>
    </w:p>
    <w:p w14:paraId="71482E74" w14:textId="77777777" w:rsidR="00955A9B" w:rsidRDefault="00955A9B" w:rsidP="00955A9B">
      <w:pPr>
        <w:tabs>
          <w:tab w:val="left" w:pos="1595"/>
        </w:tabs>
        <w:spacing w:line="360" w:lineRule="auto"/>
        <w:jc w:val="both"/>
        <w:rPr>
          <w:rFonts w:ascii="Times New Roman" w:hAnsi="Times New Roman" w:cs="Times New Roman"/>
          <w:b/>
          <w:bCs/>
          <w:sz w:val="24"/>
          <w:szCs w:val="24"/>
        </w:rPr>
      </w:pPr>
    </w:p>
    <w:p w14:paraId="023A90F6" w14:textId="4E09CBC5" w:rsidR="00955A9B" w:rsidRPr="00955A9B" w:rsidRDefault="00836B7B" w:rsidP="00955A9B">
      <w:pPr>
        <w:tabs>
          <w:tab w:val="left" w:pos="1595"/>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La tabella 13</w:t>
      </w:r>
      <w:r w:rsidR="00955A9B" w:rsidRPr="00955A9B">
        <w:rPr>
          <w:rFonts w:ascii="Times New Roman" w:hAnsi="Times New Roman" w:cs="Times New Roman"/>
          <w:b/>
          <w:bCs/>
          <w:sz w:val="24"/>
          <w:szCs w:val="24"/>
        </w:rPr>
        <w:t xml:space="preserve"> riassume gli esami diagnostico/stadiativi per il carcinoma esofageo metastatico.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22"/>
      </w:tblGrid>
      <w:tr w:rsidR="00955A9B" w:rsidRPr="00955A9B" w14:paraId="163C5402" w14:textId="77777777" w:rsidTr="00AE73EE">
        <w:tc>
          <w:tcPr>
            <w:tcW w:w="4886" w:type="dxa"/>
            <w:shd w:val="clear" w:color="auto" w:fill="auto"/>
          </w:tcPr>
          <w:p w14:paraId="1BD7E498"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TIPOLOGIA DI ESAME </w:t>
            </w:r>
          </w:p>
        </w:tc>
        <w:tc>
          <w:tcPr>
            <w:tcW w:w="4886" w:type="dxa"/>
            <w:shd w:val="clear" w:color="auto" w:fill="auto"/>
          </w:tcPr>
          <w:p w14:paraId="446949AD"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APPROPRIATEZZA</w:t>
            </w:r>
          </w:p>
        </w:tc>
      </w:tr>
      <w:tr w:rsidR="00955A9B" w:rsidRPr="00955A9B" w14:paraId="70A2FC8B" w14:textId="77777777" w:rsidTr="00AE73EE">
        <w:tc>
          <w:tcPr>
            <w:tcW w:w="4886" w:type="dxa"/>
            <w:shd w:val="clear" w:color="auto" w:fill="auto"/>
          </w:tcPr>
          <w:p w14:paraId="236F8242"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 xml:space="preserve"> EGDS con biopsia multiple</w:t>
            </w:r>
          </w:p>
        </w:tc>
        <w:tc>
          <w:tcPr>
            <w:tcW w:w="4886" w:type="dxa"/>
            <w:shd w:val="clear" w:color="auto" w:fill="auto"/>
          </w:tcPr>
          <w:p w14:paraId="07E4D3EE"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45AA7D52" w14:textId="77777777" w:rsidTr="00AE73EE">
        <w:tc>
          <w:tcPr>
            <w:tcW w:w="4886" w:type="dxa"/>
            <w:shd w:val="clear" w:color="auto" w:fill="auto"/>
          </w:tcPr>
          <w:p w14:paraId="37BF4B58"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TC encefalo, collo, torace-addome-pelvi con e senza mdc</w:t>
            </w:r>
          </w:p>
        </w:tc>
        <w:tc>
          <w:tcPr>
            <w:tcW w:w="4886" w:type="dxa"/>
            <w:shd w:val="clear" w:color="auto" w:fill="auto"/>
          </w:tcPr>
          <w:p w14:paraId="40BA49B5"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w:t>
            </w:r>
          </w:p>
        </w:tc>
      </w:tr>
      <w:tr w:rsidR="00955A9B" w:rsidRPr="00955A9B" w14:paraId="249F2120" w14:textId="77777777" w:rsidTr="00AE73EE">
        <w:tc>
          <w:tcPr>
            <w:tcW w:w="4886" w:type="dxa"/>
            <w:shd w:val="clear" w:color="auto" w:fill="auto"/>
          </w:tcPr>
          <w:p w14:paraId="38968117"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Scintigrafia ossea total body</w:t>
            </w:r>
          </w:p>
        </w:tc>
        <w:tc>
          <w:tcPr>
            <w:tcW w:w="4886" w:type="dxa"/>
            <w:shd w:val="clear" w:color="auto" w:fill="auto"/>
          </w:tcPr>
          <w:p w14:paraId="00E32215"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3AA55E9D" w14:textId="77777777" w:rsidTr="00AE73EE">
        <w:tc>
          <w:tcPr>
            <w:tcW w:w="4886" w:type="dxa"/>
            <w:shd w:val="clear" w:color="auto" w:fill="auto"/>
          </w:tcPr>
          <w:p w14:paraId="07C68386"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RMN addome con mdc</w:t>
            </w:r>
          </w:p>
        </w:tc>
        <w:tc>
          <w:tcPr>
            <w:tcW w:w="4886" w:type="dxa"/>
            <w:shd w:val="clear" w:color="auto" w:fill="auto"/>
          </w:tcPr>
          <w:p w14:paraId="65B061D0"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08C5BF16" w14:textId="77777777" w:rsidTr="00AE73EE">
        <w:tc>
          <w:tcPr>
            <w:tcW w:w="4886" w:type="dxa"/>
            <w:shd w:val="clear" w:color="auto" w:fill="auto"/>
          </w:tcPr>
          <w:p w14:paraId="752B7A5C"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TC/RMN encefalo con mdc</w:t>
            </w:r>
          </w:p>
        </w:tc>
        <w:tc>
          <w:tcPr>
            <w:tcW w:w="4886" w:type="dxa"/>
            <w:shd w:val="clear" w:color="auto" w:fill="auto"/>
          </w:tcPr>
          <w:p w14:paraId="200206A6"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r w:rsidR="00955A9B" w:rsidRPr="00955A9B" w14:paraId="228AFD35" w14:textId="77777777" w:rsidTr="00AE73EE">
        <w:tc>
          <w:tcPr>
            <w:tcW w:w="4886" w:type="dxa"/>
            <w:shd w:val="clear" w:color="auto" w:fill="auto"/>
          </w:tcPr>
          <w:p w14:paraId="25406BFC" w14:textId="77777777" w:rsidR="00955A9B" w:rsidRPr="00955A9B" w:rsidRDefault="00955A9B" w:rsidP="00955A9B">
            <w:pPr>
              <w:tabs>
                <w:tab w:val="left" w:pos="1595"/>
              </w:tabs>
              <w:spacing w:line="360" w:lineRule="auto"/>
              <w:rPr>
                <w:rFonts w:ascii="Times New Roman" w:eastAsia="Yu Mincho" w:hAnsi="Times New Roman" w:cs="Times New Roman"/>
                <w:szCs w:val="24"/>
                <w:lang w:val="en-US"/>
              </w:rPr>
            </w:pPr>
            <w:r w:rsidRPr="00955A9B">
              <w:rPr>
                <w:rFonts w:ascii="Times New Roman" w:eastAsia="Yu Mincho" w:hAnsi="Times New Roman" w:cs="Times New Roman"/>
                <w:szCs w:val="24"/>
                <w:lang w:val="en-US"/>
              </w:rPr>
              <w:t>18-FDG PET/TC Total Body</w:t>
            </w:r>
          </w:p>
        </w:tc>
        <w:tc>
          <w:tcPr>
            <w:tcW w:w="4886" w:type="dxa"/>
            <w:shd w:val="clear" w:color="auto" w:fill="auto"/>
          </w:tcPr>
          <w:p w14:paraId="337B76D8" w14:textId="77777777" w:rsidR="00955A9B" w:rsidRPr="00955A9B" w:rsidRDefault="00955A9B" w:rsidP="00955A9B">
            <w:pPr>
              <w:tabs>
                <w:tab w:val="left" w:pos="1595"/>
              </w:tabs>
              <w:spacing w:line="360" w:lineRule="auto"/>
              <w:rPr>
                <w:rFonts w:ascii="Times New Roman" w:eastAsia="Yu Mincho" w:hAnsi="Times New Roman" w:cs="Times New Roman"/>
                <w:szCs w:val="24"/>
              </w:rPr>
            </w:pPr>
            <w:r w:rsidRPr="00955A9B">
              <w:rPr>
                <w:rFonts w:ascii="Times New Roman" w:eastAsia="Yu Mincho" w:hAnsi="Times New Roman" w:cs="Times New Roman"/>
                <w:szCs w:val="24"/>
              </w:rPr>
              <w:t>Appropriata in casi selezionati</w:t>
            </w:r>
          </w:p>
        </w:tc>
      </w:tr>
    </w:tbl>
    <w:p w14:paraId="02666FB1" w14:textId="6799D6C4" w:rsidR="00E82BB6" w:rsidRDefault="00E82BB6" w:rsidP="00955A9B">
      <w:pPr>
        <w:tabs>
          <w:tab w:val="left" w:pos="1520"/>
          <w:tab w:val="left" w:pos="3500"/>
          <w:tab w:val="left" w:pos="4200"/>
          <w:tab w:val="left" w:pos="5840"/>
          <w:tab w:val="left" w:pos="6600"/>
          <w:tab w:val="left" w:pos="8200"/>
        </w:tabs>
        <w:spacing w:line="360" w:lineRule="auto"/>
        <w:jc w:val="both"/>
        <w:rPr>
          <w:rFonts w:ascii="Times New Roman" w:eastAsia="Times New Roman" w:hAnsi="Times New Roman" w:cs="Times New Roman"/>
          <w:b/>
          <w:sz w:val="24"/>
          <w:szCs w:val="24"/>
        </w:rPr>
      </w:pPr>
    </w:p>
    <w:p w14:paraId="13D117A4" w14:textId="514C965C" w:rsidR="002A0444" w:rsidRDefault="002A0444" w:rsidP="00955A9B">
      <w:pPr>
        <w:tabs>
          <w:tab w:val="left" w:pos="1520"/>
          <w:tab w:val="left" w:pos="3500"/>
          <w:tab w:val="left" w:pos="4200"/>
          <w:tab w:val="left" w:pos="5840"/>
          <w:tab w:val="left" w:pos="6600"/>
          <w:tab w:val="left" w:pos="8200"/>
        </w:tabs>
        <w:spacing w:line="360" w:lineRule="auto"/>
        <w:jc w:val="both"/>
        <w:rPr>
          <w:rFonts w:ascii="Times New Roman" w:eastAsia="Times New Roman" w:hAnsi="Times New Roman" w:cs="Times New Roman"/>
          <w:b/>
          <w:sz w:val="24"/>
          <w:szCs w:val="24"/>
        </w:rPr>
      </w:pPr>
    </w:p>
    <w:p w14:paraId="02313486" w14:textId="77777777" w:rsidR="002A0444" w:rsidRDefault="002A0444" w:rsidP="00955A9B">
      <w:pPr>
        <w:tabs>
          <w:tab w:val="left" w:pos="1520"/>
          <w:tab w:val="left" w:pos="3500"/>
          <w:tab w:val="left" w:pos="4200"/>
          <w:tab w:val="left" w:pos="5840"/>
          <w:tab w:val="left" w:pos="6600"/>
          <w:tab w:val="left" w:pos="8200"/>
        </w:tabs>
        <w:spacing w:line="360" w:lineRule="auto"/>
        <w:jc w:val="both"/>
        <w:rPr>
          <w:rFonts w:ascii="Times New Roman" w:eastAsia="Times New Roman" w:hAnsi="Times New Roman" w:cs="Times New Roman"/>
          <w:b/>
          <w:sz w:val="24"/>
          <w:szCs w:val="24"/>
        </w:rPr>
      </w:pPr>
    </w:p>
    <w:p w14:paraId="4920B1B2" w14:textId="0C6157DD" w:rsidR="00955A9B" w:rsidRPr="00955A9B" w:rsidRDefault="00955A9B" w:rsidP="00955A9B">
      <w:pPr>
        <w:tabs>
          <w:tab w:val="left" w:pos="1520"/>
          <w:tab w:val="left" w:pos="3500"/>
          <w:tab w:val="left" w:pos="4200"/>
          <w:tab w:val="left" w:pos="5840"/>
          <w:tab w:val="left" w:pos="6600"/>
          <w:tab w:val="left" w:pos="8200"/>
        </w:tabs>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b/>
          <w:sz w:val="24"/>
          <w:szCs w:val="24"/>
        </w:rPr>
        <w:t>PERCORSO</w:t>
      </w:r>
      <w:r w:rsidRPr="00955A9B">
        <w:rPr>
          <w:rFonts w:ascii="Times New Roman" w:eastAsia="Times New Roman" w:hAnsi="Times New Roman" w:cs="Times New Roman"/>
          <w:b/>
          <w:sz w:val="24"/>
          <w:szCs w:val="24"/>
        </w:rPr>
        <w:tab/>
        <w:t>TERAPEUTICO</w:t>
      </w:r>
      <w:r w:rsidRPr="00955A9B">
        <w:rPr>
          <w:rFonts w:ascii="Times New Roman" w:eastAsia="Times New Roman" w:hAnsi="Times New Roman" w:cs="Times New Roman"/>
          <w:b/>
          <w:sz w:val="24"/>
          <w:szCs w:val="24"/>
        </w:rPr>
        <w:tab/>
        <w:t>PER</w:t>
      </w:r>
      <w:r w:rsidRPr="00955A9B">
        <w:rPr>
          <w:rFonts w:ascii="Times New Roman" w:eastAsia="Times New Roman" w:hAnsi="Times New Roman" w:cs="Times New Roman"/>
          <w:b/>
          <w:sz w:val="24"/>
          <w:szCs w:val="24"/>
        </w:rPr>
        <w:tab/>
        <w:t>PAZIENTE</w:t>
      </w:r>
      <w:r w:rsidRPr="00955A9B">
        <w:rPr>
          <w:rFonts w:ascii="Times New Roman" w:eastAsia="Times New Roman" w:hAnsi="Times New Roman" w:cs="Times New Roman"/>
          <w:sz w:val="24"/>
          <w:szCs w:val="24"/>
        </w:rPr>
        <w:tab/>
      </w:r>
      <w:r w:rsidRPr="00955A9B">
        <w:rPr>
          <w:rFonts w:ascii="Times New Roman" w:eastAsia="Times New Roman" w:hAnsi="Times New Roman" w:cs="Times New Roman"/>
          <w:b/>
          <w:sz w:val="24"/>
          <w:szCs w:val="24"/>
        </w:rPr>
        <w:t>CON</w:t>
      </w:r>
      <w:r w:rsidRPr="00955A9B">
        <w:rPr>
          <w:rFonts w:ascii="Times New Roman" w:eastAsia="Times New Roman" w:hAnsi="Times New Roman" w:cs="Times New Roman"/>
          <w:b/>
          <w:sz w:val="24"/>
          <w:szCs w:val="24"/>
        </w:rPr>
        <w:tab/>
        <w:t>NEOPLASIA</w:t>
      </w:r>
      <w:r w:rsidRPr="00955A9B">
        <w:rPr>
          <w:rFonts w:ascii="Times New Roman" w:eastAsia="Times New Roman" w:hAnsi="Times New Roman" w:cs="Times New Roman"/>
          <w:b/>
          <w:sz w:val="24"/>
          <w:szCs w:val="24"/>
        </w:rPr>
        <w:tab/>
        <w:t>ESOFAGEA ACCERTATA ED IN FASE PRECOCE</w:t>
      </w:r>
    </w:p>
    <w:p w14:paraId="064DD288" w14:textId="77777777" w:rsidR="00955A9B" w:rsidRPr="00955A9B" w:rsidRDefault="00955A9B"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La terapia del tumore dell’esofago differisce a seconda che la malattia si presenti alla diagnosi in fase precoce o in fase avanzata, e a seconda della sede e dell’istotipo (carcinoma squamoso vs adenocarcinoma). Si riporta in Tabella 6 il percorso per il carcinoma squamoso dell’esofago in stadio localizzato (candidabile ad approccio chirurgico e/o neoadiuvante o definitivo), mentre in Tabella 7 il percorso per l’adenocarcinoma localizzato, in conformità alle principali linee guida nazionali ed internazionali più aggiornate (AIOM, ESMO, NCCN). Tali trattamenti saranno modificati, pertanto, secondo la loro evoluzione. Le figure professionali di riferimento nell’ambito del percorso saranno almeno rappresentate dall’Oncologo Medico, dal Chirurgo Generale dedicato al trattamento dei tumori del tratto gastro-esofageo alto e dal Radioterapista. Il trattamento chirurgico andrà eseguito nei centri di II livello della Rete Oncologica per garantire elevati standard di qualità. La gestione medica e radioterapica andrà effettuata nei centri di I e II livello.</w:t>
      </w:r>
    </w:p>
    <w:p w14:paraId="72926F37" w14:textId="0C2BCD51" w:rsidR="00955A9B" w:rsidRPr="00955A9B" w:rsidRDefault="00955A9B"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In considerazione della complessità del trattamento del paziente affetto da neoplasia dell’esofago, tutti i pazienti affetti da carcinoma esofageo alla diagnosi devono essere sottoposti a consulto nutrizionistico con eventuale integrazione nutrizionale e valutazione di strategie nutrizionali enterali artificiali (specie in caso di necessità di chemio-radioterapia), counseling psicologico, counseling genetico con eventuali analisi genetiche nel caso si sospetti una patologia ereditaria, counseling di oncofertilità, soprattutto nei pazienti giovani che necessitino di trattamenti antiblastici e abbiano desiderio di prole, valutazione ORL nei casi selezionati (preservazione della pervietà delle vie aeree superiori</w:t>
      </w:r>
      <w:r w:rsidR="003943FF">
        <w:rPr>
          <w:rFonts w:ascii="Times New Roman" w:eastAsia="Times New Roman" w:hAnsi="Times New Roman" w:cs="Times New Roman"/>
          <w:sz w:val="24"/>
          <w:szCs w:val="24"/>
        </w:rPr>
        <w:t xml:space="preserve">, </w:t>
      </w:r>
      <w:r w:rsidR="003943FF" w:rsidRPr="003943FF">
        <w:rPr>
          <w:rFonts w:ascii="Times New Roman" w:eastAsia="Times New Roman" w:hAnsi="Times New Roman" w:cs="Times New Roman"/>
          <w:sz w:val="24"/>
          <w:szCs w:val="24"/>
        </w:rPr>
        <w:t>esclusione di seconde neoplasie del distretto testa-collo</w:t>
      </w:r>
      <w:r w:rsidRPr="00955A9B">
        <w:rPr>
          <w:rFonts w:ascii="Times New Roman" w:eastAsia="Times New Roman" w:hAnsi="Times New Roman" w:cs="Times New Roman"/>
          <w:sz w:val="24"/>
          <w:szCs w:val="24"/>
        </w:rPr>
        <w:t xml:space="preserve">),valutazione chirurgica o anestesiologica per il posizionamento di adeguato accesso venoso centrale o periferico (laddove non disponibile presso un ambulatorio dedicato nella UOC di Oncoematologia) o di device o intervento per nutrizione enterale (PEG o digiunostomia ecc). L’accesso venoso centrale sarà quindi posizionato da personale dedicato in centri di I e II livello prima dell’inizio del trattamento. </w:t>
      </w:r>
      <w:r w:rsidR="003943FF">
        <w:rPr>
          <w:rFonts w:ascii="Times New Roman" w:eastAsia="Times New Roman" w:hAnsi="Times New Roman" w:cs="Times New Roman"/>
          <w:sz w:val="24"/>
          <w:szCs w:val="24"/>
        </w:rPr>
        <w:t>Il Case Manager</w:t>
      </w:r>
      <w:r w:rsidRPr="00955A9B">
        <w:rPr>
          <w:rFonts w:ascii="Times New Roman" w:eastAsia="Times New Roman" w:hAnsi="Times New Roman" w:cs="Times New Roman"/>
          <w:sz w:val="24"/>
          <w:szCs w:val="24"/>
        </w:rPr>
        <w:t xml:space="preserve"> del GOM provvederà alla organizzazione e prenotazione di tutte le visite necessarie dopo la diagnosi di tumore dello stomaco e prima di intraprendere il trattamento. Il rapporto con il Nutrizionista dedicato e lo psiconcologo saranno rapporti continuativi durante il trattamento, mentre il chirurgo o anestesista con il compito di impiantare l’accesso venoso (o il personale infermieristico dedicato presso gli ambulatori di posizionamento PICC di pertinenza oncoematologica) si occuperanno delle eventuali complicanze legate alla gestione dell’accesso venoso centrale stesso (es. infezioni), alla diagnosi ed al trattamento di queste ultime con un tempo di attesa massimo per la prima visita dopo l’insorgenza della complicanza di 3 giorni e con un tempo di reimpianto di accesso venoso, in caso di rottura, fuoriuscita, infezione o dislocazione dei dispositivi di 7 giorni (con le dovute eccezioni legate al singolo caso). In caso di pazienti non    operabili per patologie concomitanti</w:t>
      </w:r>
      <w:r w:rsidRPr="00955A9B">
        <w:rPr>
          <w:rFonts w:ascii="Times New Roman" w:eastAsia="Times New Roman" w:hAnsi="Times New Roman" w:cs="Times New Roman"/>
          <w:sz w:val="24"/>
          <w:szCs w:val="24"/>
        </w:rPr>
        <w:tab/>
        <w:t>e che</w:t>
      </w:r>
      <w:r w:rsidRPr="00955A9B">
        <w:rPr>
          <w:rFonts w:ascii="Times New Roman" w:eastAsia="Times New Roman" w:hAnsi="Times New Roman" w:cs="Times New Roman"/>
          <w:sz w:val="24"/>
          <w:szCs w:val="24"/>
        </w:rPr>
        <w:tab/>
        <w:t>presentino disfagia severa,</w:t>
      </w:r>
      <w:r w:rsidRPr="00955A9B">
        <w:rPr>
          <w:rFonts w:ascii="Times New Roman" w:eastAsia="Times New Roman" w:hAnsi="Times New Roman" w:cs="Times New Roman"/>
          <w:sz w:val="24"/>
          <w:szCs w:val="24"/>
        </w:rPr>
        <w:tab/>
        <w:t>sarà</w:t>
      </w:r>
      <w:r w:rsidRPr="00955A9B">
        <w:rPr>
          <w:rFonts w:ascii="Times New Roman" w:eastAsia="Times New Roman" w:hAnsi="Times New Roman" w:cs="Times New Roman"/>
          <w:sz w:val="24"/>
          <w:szCs w:val="24"/>
        </w:rPr>
        <w:tab/>
        <w:t>valutata</w:t>
      </w:r>
      <w:r w:rsidRPr="00955A9B">
        <w:rPr>
          <w:rFonts w:ascii="Times New Roman" w:eastAsia="Times New Roman" w:hAnsi="Times New Roman" w:cs="Times New Roman"/>
          <w:sz w:val="24"/>
          <w:szCs w:val="24"/>
        </w:rPr>
        <w:tab/>
        <w:t>dal</w:t>
      </w:r>
      <w:r w:rsidRPr="00955A9B">
        <w:rPr>
          <w:rFonts w:ascii="Times New Roman" w:eastAsia="Times New Roman" w:hAnsi="Times New Roman" w:cs="Times New Roman"/>
          <w:sz w:val="24"/>
          <w:szCs w:val="24"/>
        </w:rPr>
        <w:tab/>
        <w:t>GOM</w:t>
      </w:r>
      <w:r w:rsidRPr="00955A9B">
        <w:rPr>
          <w:rFonts w:ascii="Times New Roman" w:eastAsia="Times New Roman" w:hAnsi="Times New Roman" w:cs="Times New Roman"/>
          <w:sz w:val="24"/>
          <w:szCs w:val="24"/>
        </w:rPr>
        <w:tab/>
        <w:t>la possibilità di posizionamento di endoprotesi compatibilmente con gli altri trattamenti e le aspettative di vita.</w:t>
      </w:r>
    </w:p>
    <w:p w14:paraId="76C17994" w14:textId="71FDC817" w:rsidR="00955A9B" w:rsidRPr="00955A9B" w:rsidRDefault="00836B7B" w:rsidP="00955A9B">
      <w:pPr>
        <w:spacing w:line="360" w:lineRule="auto"/>
        <w:ind w:lef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Tabella 14.</w:t>
      </w:r>
      <w:r w:rsidR="00955A9B" w:rsidRPr="00955A9B">
        <w:rPr>
          <w:rFonts w:ascii="Times New Roman" w:eastAsia="Times New Roman" w:hAnsi="Times New Roman" w:cs="Times New Roman"/>
          <w:b/>
          <w:sz w:val="24"/>
          <w:szCs w:val="24"/>
        </w:rPr>
        <w:t xml:space="preserve"> Percorso terapeutico per carcinoma squamoso esofageo non metastatico (localizzato)</w:t>
      </w:r>
    </w:p>
    <w:tbl>
      <w:tblPr>
        <w:tblStyle w:val="Grigliatabella"/>
        <w:tblW w:w="0" w:type="auto"/>
        <w:tblLook w:val="04A0" w:firstRow="1" w:lastRow="0" w:firstColumn="1" w:lastColumn="0" w:noHBand="0" w:noVBand="1"/>
      </w:tblPr>
      <w:tblGrid>
        <w:gridCol w:w="4814"/>
        <w:gridCol w:w="4814"/>
      </w:tblGrid>
      <w:tr w:rsidR="00BF6BAB" w14:paraId="5C1E078F" w14:textId="77777777">
        <w:tc>
          <w:tcPr>
            <w:tcW w:w="4814" w:type="dxa"/>
          </w:tcPr>
          <w:p w14:paraId="6C44ADD2" w14:textId="62027E09" w:rsidR="00BF6BAB" w:rsidRDefault="00BF6BAB"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b/>
                <w:sz w:val="24"/>
                <w:szCs w:val="24"/>
              </w:rPr>
              <w:t>Stadio</w:t>
            </w:r>
          </w:p>
        </w:tc>
        <w:tc>
          <w:tcPr>
            <w:tcW w:w="4814" w:type="dxa"/>
          </w:tcPr>
          <w:p w14:paraId="21CD4D5F" w14:textId="1C7A54F5" w:rsidR="00BF6BAB" w:rsidRDefault="00BF6BAB" w:rsidP="00955A9B">
            <w:pPr>
              <w:spacing w:line="360" w:lineRule="auto"/>
              <w:jc w:val="both"/>
              <w:rPr>
                <w:rFonts w:ascii="Times New Roman" w:eastAsia="Times New Roman" w:hAnsi="Times New Roman" w:cs="Times New Roman"/>
                <w:sz w:val="24"/>
                <w:szCs w:val="24"/>
              </w:rPr>
            </w:pPr>
            <w:r w:rsidRPr="00082046">
              <w:rPr>
                <w:rFonts w:ascii="Times New Roman" w:eastAsia="Times New Roman" w:hAnsi="Times New Roman" w:cs="Times New Roman"/>
                <w:b/>
                <w:sz w:val="24"/>
                <w:szCs w:val="28"/>
              </w:rPr>
              <w:t>Trattamento</w:t>
            </w:r>
          </w:p>
        </w:tc>
      </w:tr>
      <w:tr w:rsidR="00BF6BAB" w14:paraId="26EF4346" w14:textId="77777777">
        <w:tc>
          <w:tcPr>
            <w:tcW w:w="4814" w:type="dxa"/>
          </w:tcPr>
          <w:p w14:paraId="0714CED2" w14:textId="211795CE" w:rsidR="00BF6BAB" w:rsidRDefault="00BF6BAB" w:rsidP="00BF6B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Stadio </w:t>
            </w:r>
            <w:r w:rsidRPr="000959E1">
              <w:rPr>
                <w:rFonts w:ascii="Times New Roman" w:eastAsia="Times New Roman" w:hAnsi="Times New Roman" w:cs="Times New Roman"/>
                <w:b/>
                <w:sz w:val="24"/>
                <w:szCs w:val="24"/>
              </w:rPr>
              <w:t>Tis-T1a, N</w:t>
            </w:r>
            <w:r>
              <w:rPr>
                <w:rFonts w:ascii="Times New Roman" w:eastAsia="Times New Roman" w:hAnsi="Times New Roman" w:cs="Times New Roman"/>
                <w:b/>
                <w:sz w:val="24"/>
                <w:szCs w:val="24"/>
              </w:rPr>
              <w:t>0</w:t>
            </w:r>
          </w:p>
        </w:tc>
        <w:tc>
          <w:tcPr>
            <w:tcW w:w="4814" w:type="dxa"/>
          </w:tcPr>
          <w:p w14:paraId="6A2E6168" w14:textId="77777777" w:rsidR="00BF6BAB" w:rsidRDefault="00BF6BAB" w:rsidP="00BF6B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Chirurgico</w:t>
            </w:r>
          </w:p>
          <w:p w14:paraId="304BF0BD"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Mucosectomia endoscopica (EMR) in casi selezionati=&gt;sorveglianza endoscopica</w:t>
            </w:r>
          </w:p>
          <w:p w14:paraId="6C5F46C5"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xml:space="preserve"> - Dissezione endoscopica sottomucosale (ESD)=&gt;sorveglianza endoscopica</w:t>
            </w:r>
          </w:p>
          <w:p w14:paraId="444F07E9" w14:textId="1E2AD1AE" w:rsidR="00BF6BAB" w:rsidRDefault="00BF6BAB" w:rsidP="00BF6BAB">
            <w:pPr>
              <w:spacing w:line="360" w:lineRule="auto"/>
              <w:jc w:val="both"/>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xml:space="preserve"> - Esofagectomia</w:t>
            </w:r>
          </w:p>
        </w:tc>
      </w:tr>
      <w:tr w:rsidR="00BF6BAB" w14:paraId="488F97F9" w14:textId="77777777">
        <w:tc>
          <w:tcPr>
            <w:tcW w:w="4814" w:type="dxa"/>
          </w:tcPr>
          <w:p w14:paraId="1CC904BF" w14:textId="77777777" w:rsidR="00BF6BAB" w:rsidRDefault="00BF6BAB" w:rsidP="00BF6BA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T1b-T4a, N0-N+</w:t>
            </w:r>
          </w:p>
          <w:p w14:paraId="43F48ECD" w14:textId="77777777" w:rsidR="00BF6BAB" w:rsidRDefault="00BF6BAB" w:rsidP="00BF6BAB">
            <w:pPr>
              <w:spacing w:line="360" w:lineRule="auto"/>
              <w:jc w:val="both"/>
              <w:rPr>
                <w:rFonts w:ascii="Times New Roman" w:eastAsia="Times New Roman" w:hAnsi="Times New Roman" w:cs="Times New Roman"/>
                <w:sz w:val="24"/>
                <w:szCs w:val="24"/>
              </w:rPr>
            </w:pPr>
          </w:p>
        </w:tc>
        <w:tc>
          <w:tcPr>
            <w:tcW w:w="4814" w:type="dxa"/>
          </w:tcPr>
          <w:p w14:paraId="533A2FBB" w14:textId="77777777" w:rsidR="00BF6BAB" w:rsidRPr="000959E1" w:rsidRDefault="00BF6BAB" w:rsidP="00BF6BAB">
            <w:pPr>
              <w:spacing w:line="360" w:lineRule="auto"/>
              <w:rPr>
                <w:rFonts w:ascii="Times New Roman" w:eastAsia="Times New Roman" w:hAnsi="Times New Roman" w:cs="Times New Roman"/>
                <w:sz w:val="24"/>
                <w:szCs w:val="24"/>
              </w:rPr>
            </w:pPr>
            <w:r w:rsidRPr="009D712D">
              <w:rPr>
                <w:rFonts w:ascii="Times New Roman" w:eastAsia="Times New Roman" w:hAnsi="Times New Roman" w:cs="Times New Roman"/>
                <w:b/>
                <w:bCs/>
                <w:sz w:val="24"/>
                <w:szCs w:val="24"/>
              </w:rPr>
              <w:t>Esofago Cervicale</w:t>
            </w:r>
            <w:r w:rsidRPr="000959E1">
              <w:rPr>
                <w:rFonts w:ascii="Times New Roman" w:eastAsia="Times New Roman" w:hAnsi="Times New Roman" w:cs="Times New Roman"/>
                <w:sz w:val="24"/>
                <w:szCs w:val="24"/>
              </w:rPr>
              <w:t>:</w:t>
            </w:r>
          </w:p>
          <w:p w14:paraId="7A45F817"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CRT definitiva</w:t>
            </w:r>
            <w:r>
              <w:rPr>
                <w:rFonts w:ascii="Times New Roman" w:eastAsia="Times New Roman" w:hAnsi="Times New Roman" w:cs="Times New Roman"/>
                <w:sz w:val="24"/>
                <w:szCs w:val="24"/>
              </w:rPr>
              <w:t xml:space="preserve"> </w:t>
            </w:r>
            <w:r w:rsidRPr="000959E1">
              <w:rPr>
                <w:rFonts w:ascii="Times New Roman" w:eastAsia="Times New Roman" w:hAnsi="Times New Roman" w:cs="Times New Roman"/>
                <w:sz w:val="24"/>
                <w:szCs w:val="24"/>
              </w:rPr>
              <w:t xml:space="preserve">(RT 50.4 Gy, NB: </w:t>
            </w:r>
            <w:r w:rsidRPr="00230720">
              <w:rPr>
                <w:rFonts w:ascii="Times New Roman" w:eastAsia="Times New Roman" w:hAnsi="Times New Roman" w:cs="Times New Roman"/>
                <w:b/>
                <w:bCs/>
                <w:sz w:val="24"/>
                <w:szCs w:val="24"/>
                <w:u w:val="single"/>
              </w:rPr>
              <w:t>no 60 Gy</w:t>
            </w:r>
            <w:r w:rsidRPr="000959E1">
              <w:rPr>
                <w:rFonts w:ascii="Times New Roman" w:eastAsia="Times New Roman" w:hAnsi="Times New Roman" w:cs="Times New Roman"/>
                <w:sz w:val="24"/>
                <w:szCs w:val="24"/>
              </w:rPr>
              <w:t>) =&gt;Chirurgia di salvataggio in casi selezionati</w:t>
            </w:r>
          </w:p>
          <w:p w14:paraId="694B7E6B"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xml:space="preserve">- </w:t>
            </w:r>
            <w:r w:rsidRPr="009D712D">
              <w:rPr>
                <w:rFonts w:ascii="Times New Roman" w:eastAsia="Times New Roman" w:hAnsi="Times New Roman" w:cs="Times New Roman"/>
                <w:b/>
                <w:bCs/>
                <w:sz w:val="24"/>
                <w:szCs w:val="24"/>
              </w:rPr>
              <w:t>Esofago Toracico</w:t>
            </w:r>
            <w:r w:rsidRPr="000959E1">
              <w:rPr>
                <w:rFonts w:ascii="Times New Roman" w:eastAsia="Times New Roman" w:hAnsi="Times New Roman" w:cs="Times New Roman"/>
                <w:sz w:val="24"/>
                <w:szCs w:val="24"/>
              </w:rPr>
              <w:t>:</w:t>
            </w:r>
          </w:p>
          <w:p w14:paraId="103DB6A6"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CRT neoadiuvante (RT 41.4 – 50.4 Gy + CT) =&gt;esofagectomia</w:t>
            </w:r>
            <w:r>
              <w:rPr>
                <w:rFonts w:ascii="Times New Roman" w:eastAsia="Times New Roman" w:hAnsi="Times New Roman" w:cs="Times New Roman"/>
                <w:sz w:val="24"/>
                <w:szCs w:val="24"/>
              </w:rPr>
              <w:t xml:space="preserve"> </w:t>
            </w:r>
            <w:r w:rsidRPr="000959E1">
              <w:rPr>
                <w:rFonts w:ascii="Times New Roman" w:eastAsia="Times New Roman" w:hAnsi="Times New Roman" w:cs="Times New Roman"/>
                <w:sz w:val="24"/>
                <w:szCs w:val="24"/>
              </w:rPr>
              <w:t>=&gt;</w:t>
            </w:r>
            <w:r>
              <w:rPr>
                <w:rFonts w:ascii="Times New Roman" w:eastAsia="Times New Roman" w:hAnsi="Times New Roman" w:cs="Times New Roman"/>
                <w:sz w:val="24"/>
                <w:szCs w:val="24"/>
              </w:rPr>
              <w:t xml:space="preserve"> (</w:t>
            </w:r>
            <w:r w:rsidRPr="00AD1D9C">
              <w:rPr>
                <w:rFonts w:ascii="Times New Roman" w:eastAsia="Times New Roman" w:hAnsi="Times New Roman" w:cs="Times New Roman"/>
                <w:i/>
                <w:iCs/>
                <w:sz w:val="24"/>
                <w:szCs w:val="24"/>
              </w:rPr>
              <w:t>in futuro terapia adiuvante con Nivolumab per 1 anno nei pazienti non in pCR</w:t>
            </w:r>
            <w:r>
              <w:rPr>
                <w:rFonts w:ascii="Times New Roman" w:eastAsia="Times New Roman" w:hAnsi="Times New Roman" w:cs="Times New Roman"/>
                <w:sz w:val="24"/>
                <w:szCs w:val="24"/>
              </w:rPr>
              <w:t>)</w:t>
            </w:r>
          </w:p>
          <w:p w14:paraId="1817150F" w14:textId="2A94C7BC" w:rsidR="00BF6BAB" w:rsidRPr="00082046" w:rsidRDefault="00BF6BAB" w:rsidP="00BF6BAB">
            <w:pPr>
              <w:spacing w:line="360" w:lineRule="auto"/>
              <w:jc w:val="both"/>
              <w:rPr>
                <w:rFonts w:ascii="Times New Roman" w:eastAsia="Times New Roman" w:hAnsi="Times New Roman" w:cs="Times New Roman"/>
                <w:sz w:val="24"/>
                <w:szCs w:val="24"/>
              </w:rPr>
            </w:pPr>
            <w:r w:rsidRPr="00082046">
              <w:rPr>
                <w:rFonts w:ascii="Times New Roman" w:eastAsia="Times New Roman" w:hAnsi="Times New Roman" w:cs="Times New Roman"/>
                <w:sz w:val="24"/>
                <w:szCs w:val="24"/>
              </w:rPr>
              <w:t xml:space="preserve">CRT definitiva (RT 50.4 Gy, NB: </w:t>
            </w:r>
            <w:r w:rsidRPr="00082046">
              <w:rPr>
                <w:rFonts w:ascii="Times New Roman" w:eastAsia="Times New Roman" w:hAnsi="Times New Roman" w:cs="Times New Roman"/>
                <w:b/>
                <w:bCs/>
                <w:sz w:val="24"/>
                <w:szCs w:val="24"/>
                <w:u w:val="single"/>
              </w:rPr>
              <w:t>no 60 Gy</w:t>
            </w:r>
            <w:r w:rsidRPr="00082046">
              <w:rPr>
                <w:rFonts w:ascii="Times New Roman" w:eastAsia="Times New Roman" w:hAnsi="Times New Roman" w:cs="Times New Roman"/>
                <w:sz w:val="24"/>
                <w:szCs w:val="24"/>
              </w:rPr>
              <w:t>) =&gt;sorveglianza endoscopica e Strumentale</w:t>
            </w:r>
          </w:p>
        </w:tc>
      </w:tr>
      <w:tr w:rsidR="00BF6BAB" w14:paraId="26FC322E" w14:textId="77777777">
        <w:tc>
          <w:tcPr>
            <w:tcW w:w="4814" w:type="dxa"/>
          </w:tcPr>
          <w:p w14:paraId="05B4674C" w14:textId="77777777" w:rsidR="00BF6BAB" w:rsidRPr="000959E1" w:rsidRDefault="00BF6BAB" w:rsidP="00BF6BAB">
            <w:pPr>
              <w:spacing w:line="360" w:lineRule="auto"/>
              <w:jc w:val="both"/>
              <w:rPr>
                <w:rFonts w:ascii="Times New Roman" w:eastAsia="Times New Roman" w:hAnsi="Times New Roman" w:cs="Times New Roman"/>
                <w:b/>
                <w:sz w:val="24"/>
                <w:szCs w:val="24"/>
              </w:rPr>
            </w:pPr>
            <w:r w:rsidRPr="000959E1">
              <w:rPr>
                <w:rFonts w:ascii="Times New Roman" w:eastAsia="Times New Roman" w:hAnsi="Times New Roman" w:cs="Times New Roman"/>
                <w:b/>
                <w:sz w:val="24"/>
                <w:szCs w:val="24"/>
              </w:rPr>
              <w:t>T4b, N0-N+</w:t>
            </w:r>
          </w:p>
          <w:p w14:paraId="47C5F5C9" w14:textId="74EB8DEC" w:rsidR="00BF6BAB" w:rsidRDefault="00BF6BAB" w:rsidP="00BF6BAB">
            <w:pPr>
              <w:spacing w:line="360" w:lineRule="auto"/>
              <w:jc w:val="both"/>
              <w:rPr>
                <w:rFonts w:ascii="Times New Roman" w:eastAsia="Times New Roman" w:hAnsi="Times New Roman" w:cs="Times New Roman"/>
                <w:sz w:val="24"/>
                <w:szCs w:val="24"/>
              </w:rPr>
            </w:pPr>
            <w:r w:rsidRPr="000959E1">
              <w:rPr>
                <w:rFonts w:ascii="Times New Roman" w:eastAsia="Times New Roman" w:hAnsi="Times New Roman" w:cs="Times New Roman"/>
                <w:b/>
                <w:sz w:val="24"/>
                <w:szCs w:val="24"/>
              </w:rPr>
              <w:t>(non resecabile)</w:t>
            </w:r>
          </w:p>
        </w:tc>
        <w:tc>
          <w:tcPr>
            <w:tcW w:w="4814" w:type="dxa"/>
          </w:tcPr>
          <w:p w14:paraId="3A643760"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xml:space="preserve">CRT definitiva (RT 50.4 Gy, </w:t>
            </w:r>
            <w:r w:rsidRPr="00230720">
              <w:rPr>
                <w:rFonts w:ascii="Times New Roman" w:eastAsia="Times New Roman" w:hAnsi="Times New Roman" w:cs="Times New Roman"/>
                <w:sz w:val="24"/>
                <w:szCs w:val="24"/>
              </w:rPr>
              <w:t xml:space="preserve">NB: </w:t>
            </w:r>
            <w:r w:rsidRPr="00230720">
              <w:rPr>
                <w:rFonts w:ascii="Times New Roman" w:eastAsia="Times New Roman" w:hAnsi="Times New Roman" w:cs="Times New Roman"/>
                <w:b/>
                <w:bCs/>
                <w:sz w:val="24"/>
                <w:szCs w:val="24"/>
                <w:u w:val="single"/>
              </w:rPr>
              <w:t>no 60 Gy</w:t>
            </w:r>
            <w:r w:rsidRPr="000959E1">
              <w:rPr>
                <w:rFonts w:ascii="Times New Roman" w:eastAsia="Times New Roman" w:hAnsi="Times New Roman" w:cs="Times New Roman"/>
                <w:sz w:val="24"/>
                <w:szCs w:val="24"/>
              </w:rPr>
              <w:t>)</w:t>
            </w:r>
          </w:p>
          <w:p w14:paraId="1073010E" w14:textId="31AD3312" w:rsidR="00BF6BAB" w:rsidRDefault="00BF6BAB" w:rsidP="00BF6BAB">
            <w:pPr>
              <w:spacing w:line="360" w:lineRule="auto"/>
              <w:jc w:val="both"/>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CT esclusiva (se infiltrazione aorta, trachea ecc tale da controindicare RT)</w:t>
            </w:r>
          </w:p>
        </w:tc>
      </w:tr>
    </w:tbl>
    <w:p w14:paraId="7762127B" w14:textId="77777777" w:rsidR="00955A9B" w:rsidRPr="00955A9B" w:rsidRDefault="00955A9B" w:rsidP="00955A9B">
      <w:pPr>
        <w:spacing w:line="360" w:lineRule="auto"/>
        <w:jc w:val="both"/>
        <w:rPr>
          <w:rFonts w:ascii="Times New Roman" w:eastAsia="Times New Roman" w:hAnsi="Times New Roman" w:cs="Times New Roman"/>
          <w:sz w:val="24"/>
          <w:szCs w:val="24"/>
        </w:rPr>
      </w:pPr>
      <w:r w:rsidRPr="00955A9B">
        <w:rPr>
          <w:rFonts w:ascii="Times New Roman" w:hAnsi="Times New Roman" w:cs="Times New Roman"/>
          <w:noProof/>
          <w:sz w:val="24"/>
          <w:szCs w:val="24"/>
          <w:lang w:eastAsia="it-IT"/>
        </w:rPr>
        <mc:AlternateContent>
          <mc:Choice Requires="wps">
            <w:drawing>
              <wp:anchor distT="4294967294" distB="4294967294" distL="114300" distR="114300" simplePos="0" relativeHeight="251725824" behindDoc="1" locked="0" layoutInCell="1" allowOverlap="1" wp14:anchorId="57AAD932" wp14:editId="505B2FED">
                <wp:simplePos x="0" y="0"/>
                <wp:positionH relativeFrom="column">
                  <wp:posOffset>2540</wp:posOffset>
                </wp:positionH>
                <wp:positionV relativeFrom="paragraph">
                  <wp:posOffset>133984</wp:posOffset>
                </wp:positionV>
                <wp:extent cx="6115685" cy="0"/>
                <wp:effectExtent l="0" t="0" r="0" b="0"/>
                <wp:wrapNone/>
                <wp:docPr id="25" name="Connettore dirit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6">
                          <a:solidFill>
                            <a:srgbClr val="7F7F7F"/>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EFE1D2" id="Connettore diritto 25" o:spid="_x0000_s1026" style="position:absolute;z-index:-251590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10.55pt" to="48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" strokecolor="#7f7f7f" strokeweight=".48pt"/>
            </w:pict>
          </mc:Fallback>
        </mc:AlternateContent>
      </w:r>
    </w:p>
    <w:p w14:paraId="4785FFF2" w14:textId="55F400DF" w:rsidR="00955A9B" w:rsidRPr="00955A9B" w:rsidRDefault="00955A9B" w:rsidP="00955A9B">
      <w:pPr>
        <w:spacing w:line="360" w:lineRule="auto"/>
        <w:ind w:left="120"/>
        <w:jc w:val="both"/>
        <w:rPr>
          <w:rFonts w:ascii="Times New Roman" w:eastAsia="Times New Roman" w:hAnsi="Times New Roman" w:cs="Times New Roman"/>
          <w:b/>
          <w:sz w:val="24"/>
          <w:szCs w:val="24"/>
        </w:rPr>
      </w:pPr>
    </w:p>
    <w:p w14:paraId="5BDA2C59" w14:textId="1286BF08" w:rsidR="000959E1" w:rsidRDefault="000959E1" w:rsidP="00955A9B">
      <w:pPr>
        <w:spacing w:line="360" w:lineRule="auto"/>
        <w:ind w:left="120"/>
        <w:jc w:val="both"/>
        <w:rPr>
          <w:rFonts w:ascii="Times New Roman" w:eastAsia="Times New Roman" w:hAnsi="Times New Roman" w:cs="Times New Roman"/>
          <w:b/>
          <w:sz w:val="24"/>
          <w:szCs w:val="24"/>
        </w:rPr>
      </w:pPr>
    </w:p>
    <w:p w14:paraId="565B49FB" w14:textId="77777777" w:rsidR="009779D9" w:rsidRDefault="009779D9" w:rsidP="00955A9B">
      <w:pPr>
        <w:spacing w:line="360" w:lineRule="auto"/>
        <w:ind w:left="120"/>
        <w:jc w:val="both"/>
        <w:rPr>
          <w:rFonts w:ascii="Times New Roman" w:eastAsia="Times New Roman" w:hAnsi="Times New Roman" w:cs="Times New Roman"/>
          <w:b/>
          <w:sz w:val="24"/>
          <w:szCs w:val="24"/>
        </w:rPr>
      </w:pPr>
    </w:p>
    <w:p w14:paraId="39C3FD4F" w14:textId="77777777" w:rsidR="000959E1" w:rsidRDefault="000959E1" w:rsidP="00955A9B">
      <w:pPr>
        <w:spacing w:line="360" w:lineRule="auto"/>
        <w:ind w:left="120"/>
        <w:jc w:val="both"/>
        <w:rPr>
          <w:rFonts w:ascii="Times New Roman" w:eastAsia="Times New Roman" w:hAnsi="Times New Roman" w:cs="Times New Roman"/>
          <w:b/>
          <w:sz w:val="24"/>
          <w:szCs w:val="24"/>
        </w:rPr>
      </w:pPr>
    </w:p>
    <w:p w14:paraId="3F46CD00" w14:textId="061FB6C0" w:rsidR="00955A9B" w:rsidRDefault="00836B7B" w:rsidP="000959E1">
      <w:pPr>
        <w:spacing w:line="360" w:lineRule="auto"/>
        <w:ind w:lef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Tabella 15</w:t>
      </w:r>
      <w:r w:rsidR="00955A9B" w:rsidRPr="00955A9B">
        <w:rPr>
          <w:rFonts w:ascii="Times New Roman" w:eastAsia="Times New Roman" w:hAnsi="Times New Roman" w:cs="Times New Roman"/>
          <w:b/>
          <w:sz w:val="24"/>
          <w:szCs w:val="24"/>
        </w:rPr>
        <w:t>. Percorso terapeutico per adenocarcinoma esofage</w:t>
      </w:r>
      <w:r w:rsidR="000959E1">
        <w:rPr>
          <w:rFonts w:ascii="Times New Roman" w:eastAsia="Times New Roman" w:hAnsi="Times New Roman" w:cs="Times New Roman"/>
          <w:b/>
          <w:sz w:val="24"/>
          <w:szCs w:val="24"/>
        </w:rPr>
        <w:t>o non metastatico (localizzato)</w:t>
      </w:r>
    </w:p>
    <w:tbl>
      <w:tblPr>
        <w:tblStyle w:val="Grigliatabella"/>
        <w:tblW w:w="0" w:type="auto"/>
        <w:tblInd w:w="120" w:type="dxa"/>
        <w:tblLook w:val="04A0" w:firstRow="1" w:lastRow="0" w:firstColumn="1" w:lastColumn="0" w:noHBand="0" w:noVBand="1"/>
      </w:tblPr>
      <w:tblGrid>
        <w:gridCol w:w="4750"/>
        <w:gridCol w:w="4758"/>
      </w:tblGrid>
      <w:tr w:rsidR="00BF6BAB" w14:paraId="4CE6D999" w14:textId="77777777" w:rsidTr="00082046">
        <w:tc>
          <w:tcPr>
            <w:tcW w:w="4750" w:type="dxa"/>
          </w:tcPr>
          <w:p w14:paraId="67FEEC43" w14:textId="1CFCC0BD" w:rsidR="00BF6BAB" w:rsidRDefault="00BF6BAB" w:rsidP="000959E1">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Stadio</w:t>
            </w:r>
          </w:p>
        </w:tc>
        <w:tc>
          <w:tcPr>
            <w:tcW w:w="4758" w:type="dxa"/>
          </w:tcPr>
          <w:p w14:paraId="39BAC365" w14:textId="22EFFC29" w:rsidR="00BF6BAB" w:rsidRDefault="00BF6BAB" w:rsidP="000959E1">
            <w:pPr>
              <w:spacing w:line="360" w:lineRule="auto"/>
              <w:jc w:val="both"/>
              <w:rPr>
                <w:rFonts w:ascii="Times New Roman" w:eastAsia="Times New Roman" w:hAnsi="Times New Roman" w:cs="Times New Roman"/>
                <w:b/>
                <w:sz w:val="24"/>
                <w:szCs w:val="24"/>
              </w:rPr>
            </w:pPr>
            <w:r w:rsidRPr="00EF651F">
              <w:rPr>
                <w:rFonts w:ascii="Times New Roman" w:eastAsia="Times New Roman" w:hAnsi="Times New Roman" w:cs="Times New Roman"/>
                <w:b/>
                <w:sz w:val="24"/>
                <w:szCs w:val="28"/>
              </w:rPr>
              <w:t>Trattamento</w:t>
            </w:r>
          </w:p>
        </w:tc>
      </w:tr>
      <w:tr w:rsidR="00BF6BAB" w14:paraId="702EFDAE" w14:textId="77777777" w:rsidTr="00082046">
        <w:tc>
          <w:tcPr>
            <w:tcW w:w="4750" w:type="dxa"/>
          </w:tcPr>
          <w:p w14:paraId="4F36AF9A" w14:textId="396E55BD" w:rsidR="00BF6BAB" w:rsidRDefault="00BF6BAB" w:rsidP="000959E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Stadio </w:t>
            </w:r>
            <w:r w:rsidRPr="000959E1">
              <w:rPr>
                <w:rFonts w:ascii="Times New Roman" w:eastAsia="Times New Roman" w:hAnsi="Times New Roman" w:cs="Times New Roman"/>
                <w:b/>
                <w:sz w:val="24"/>
                <w:szCs w:val="24"/>
              </w:rPr>
              <w:t>Tis-T1a, N</w:t>
            </w:r>
            <w:r>
              <w:rPr>
                <w:rFonts w:ascii="Times New Roman" w:eastAsia="Times New Roman" w:hAnsi="Times New Roman" w:cs="Times New Roman"/>
                <w:b/>
                <w:sz w:val="24"/>
                <w:szCs w:val="24"/>
              </w:rPr>
              <w:t>0</w:t>
            </w:r>
          </w:p>
        </w:tc>
        <w:tc>
          <w:tcPr>
            <w:tcW w:w="4758" w:type="dxa"/>
          </w:tcPr>
          <w:p w14:paraId="6CAD0608" w14:textId="77777777" w:rsidR="00BF6BAB" w:rsidRDefault="00BF6BAB" w:rsidP="000959E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Chirurgico</w:t>
            </w:r>
          </w:p>
          <w:p w14:paraId="3D1F765E"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Mucosectomia endoscop</w:t>
            </w:r>
            <w:r>
              <w:rPr>
                <w:rFonts w:ascii="Times New Roman" w:eastAsia="Times New Roman" w:hAnsi="Times New Roman" w:cs="Times New Roman"/>
                <w:sz w:val="24"/>
                <w:szCs w:val="24"/>
              </w:rPr>
              <w:t>ica (EMR) in casi selezionati =&gt;</w:t>
            </w:r>
            <w:r w:rsidRPr="000959E1">
              <w:rPr>
                <w:rFonts w:ascii="Times New Roman" w:eastAsia="Times New Roman" w:hAnsi="Times New Roman" w:cs="Times New Roman"/>
                <w:sz w:val="24"/>
                <w:szCs w:val="24"/>
              </w:rPr>
              <w:t xml:space="preserve">sorveglianza </w:t>
            </w:r>
          </w:p>
          <w:p w14:paraId="7B0CCCB6"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endoscopica</w:t>
            </w:r>
          </w:p>
          <w:p w14:paraId="351656C8"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xml:space="preserve"> - Dissezione en</w:t>
            </w:r>
            <w:r>
              <w:rPr>
                <w:rFonts w:ascii="Times New Roman" w:eastAsia="Times New Roman" w:hAnsi="Times New Roman" w:cs="Times New Roman"/>
                <w:sz w:val="24"/>
                <w:szCs w:val="24"/>
              </w:rPr>
              <w:t>doscopica sottomucosale (ESD) =&gt;</w:t>
            </w:r>
            <w:r w:rsidRPr="000959E1">
              <w:rPr>
                <w:rFonts w:ascii="Times New Roman" w:eastAsia="Times New Roman" w:hAnsi="Times New Roman" w:cs="Times New Roman"/>
                <w:sz w:val="24"/>
                <w:szCs w:val="24"/>
              </w:rPr>
              <w:t>sorveglianza endoscopica</w:t>
            </w:r>
          </w:p>
          <w:p w14:paraId="7FFB8BCC" w14:textId="350C0974" w:rsidR="00BF6BAB" w:rsidRDefault="00BF6BAB" w:rsidP="00BF6BAB">
            <w:pPr>
              <w:spacing w:line="360" w:lineRule="auto"/>
              <w:jc w:val="both"/>
              <w:rPr>
                <w:rFonts w:ascii="Times New Roman" w:eastAsia="Times New Roman" w:hAnsi="Times New Roman" w:cs="Times New Roman"/>
                <w:b/>
                <w:sz w:val="24"/>
                <w:szCs w:val="24"/>
              </w:rPr>
            </w:pPr>
            <w:r w:rsidRPr="000959E1">
              <w:rPr>
                <w:rFonts w:ascii="Times New Roman" w:eastAsia="Times New Roman" w:hAnsi="Times New Roman" w:cs="Times New Roman"/>
                <w:sz w:val="24"/>
                <w:szCs w:val="24"/>
              </w:rPr>
              <w:t xml:space="preserve"> - Esofagectomia</w:t>
            </w:r>
          </w:p>
        </w:tc>
      </w:tr>
      <w:tr w:rsidR="00BF6BAB" w14:paraId="5FBE46CC" w14:textId="77777777" w:rsidTr="00082046">
        <w:tc>
          <w:tcPr>
            <w:tcW w:w="4750" w:type="dxa"/>
          </w:tcPr>
          <w:p w14:paraId="0FD023A4" w14:textId="77777777" w:rsidR="00BF6BAB" w:rsidRDefault="00BF6BAB" w:rsidP="00BF6BA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T1b-T4a, N0-N+</w:t>
            </w:r>
          </w:p>
          <w:p w14:paraId="55C6DDB1" w14:textId="77777777" w:rsidR="00BF6BAB" w:rsidRDefault="00BF6BAB" w:rsidP="000959E1">
            <w:pPr>
              <w:spacing w:line="360" w:lineRule="auto"/>
              <w:jc w:val="both"/>
              <w:rPr>
                <w:rFonts w:ascii="Times New Roman" w:eastAsia="Times New Roman" w:hAnsi="Times New Roman" w:cs="Times New Roman"/>
                <w:b/>
                <w:sz w:val="24"/>
                <w:szCs w:val="24"/>
              </w:rPr>
            </w:pPr>
          </w:p>
        </w:tc>
        <w:tc>
          <w:tcPr>
            <w:tcW w:w="4758" w:type="dxa"/>
          </w:tcPr>
          <w:p w14:paraId="18C07AB0"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CT perioperatoria</w:t>
            </w:r>
            <w:r>
              <w:rPr>
                <w:rFonts w:ascii="Times New Roman" w:eastAsia="Times New Roman" w:hAnsi="Times New Roman" w:cs="Times New Roman"/>
                <w:sz w:val="24"/>
                <w:szCs w:val="24"/>
              </w:rPr>
              <w:t xml:space="preserve"> (es. con FLOT).</w:t>
            </w:r>
          </w:p>
          <w:p w14:paraId="2B2F7992"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CRT neo</w:t>
            </w:r>
            <w:r>
              <w:rPr>
                <w:rFonts w:ascii="Times New Roman" w:eastAsia="Times New Roman" w:hAnsi="Times New Roman" w:cs="Times New Roman"/>
                <w:sz w:val="24"/>
                <w:szCs w:val="24"/>
              </w:rPr>
              <w:t>adiuvante (41.4 – 50.4 Gy + CT =&gt;</w:t>
            </w:r>
            <w:r w:rsidRPr="000959E1">
              <w:rPr>
                <w:rFonts w:ascii="Times New Roman" w:eastAsia="Times New Roman" w:hAnsi="Times New Roman" w:cs="Times New Roman"/>
                <w:sz w:val="24"/>
                <w:szCs w:val="24"/>
              </w:rPr>
              <w:t xml:space="preserve"> esofagectomia</w:t>
            </w:r>
            <w:r>
              <w:rPr>
                <w:rFonts w:ascii="Times New Roman" w:eastAsia="Times New Roman" w:hAnsi="Times New Roman" w:cs="Times New Roman"/>
                <w:sz w:val="24"/>
                <w:szCs w:val="24"/>
              </w:rPr>
              <w:t xml:space="preserve"> </w:t>
            </w:r>
            <w:r w:rsidRPr="000959E1">
              <w:rPr>
                <w:rFonts w:ascii="Times New Roman" w:eastAsia="Times New Roman" w:hAnsi="Times New Roman" w:cs="Times New Roman"/>
                <w:sz w:val="24"/>
                <w:szCs w:val="24"/>
              </w:rPr>
              <w:t>=&gt;</w:t>
            </w:r>
            <w:r>
              <w:rPr>
                <w:rFonts w:ascii="Times New Roman" w:eastAsia="Times New Roman" w:hAnsi="Times New Roman" w:cs="Times New Roman"/>
                <w:sz w:val="24"/>
                <w:szCs w:val="24"/>
              </w:rPr>
              <w:t xml:space="preserve"> (in futuro terapia adiuvante con Nivolumab per 1 anno nei pazienti non in pCR).</w:t>
            </w:r>
          </w:p>
          <w:p w14:paraId="5757A264" w14:textId="77777777" w:rsidR="00BF6BAB" w:rsidRPr="000959E1" w:rsidRDefault="00BF6BAB" w:rsidP="00BF6BA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 neoadiuvante =&gt;</w:t>
            </w:r>
            <w:r w:rsidRPr="000959E1">
              <w:rPr>
                <w:rFonts w:ascii="Times New Roman" w:eastAsia="Times New Roman" w:hAnsi="Times New Roman" w:cs="Times New Roman"/>
                <w:sz w:val="24"/>
                <w:szCs w:val="24"/>
              </w:rPr>
              <w:t xml:space="preserve"> esofagectomia</w:t>
            </w:r>
          </w:p>
          <w:p w14:paraId="4933B547" w14:textId="57FDB3B0" w:rsidR="00BF6BAB" w:rsidRDefault="00BF6BAB" w:rsidP="00BF6BAB">
            <w:pPr>
              <w:spacing w:line="360" w:lineRule="auto"/>
              <w:jc w:val="both"/>
              <w:rPr>
                <w:rFonts w:ascii="Times New Roman" w:eastAsia="Times New Roman" w:hAnsi="Times New Roman" w:cs="Times New Roman"/>
                <w:b/>
                <w:sz w:val="24"/>
                <w:szCs w:val="24"/>
              </w:rPr>
            </w:pPr>
            <w:r w:rsidRPr="000959E1">
              <w:rPr>
                <w:rFonts w:ascii="Times New Roman" w:eastAsia="Times New Roman" w:hAnsi="Times New Roman" w:cs="Times New Roman"/>
                <w:sz w:val="24"/>
                <w:szCs w:val="24"/>
              </w:rPr>
              <w:t>Esofagectomia (≤ T2N0)</w:t>
            </w:r>
          </w:p>
        </w:tc>
      </w:tr>
      <w:tr w:rsidR="00BF6BAB" w14:paraId="74D72ADD" w14:textId="77777777" w:rsidTr="00082046">
        <w:tc>
          <w:tcPr>
            <w:tcW w:w="4750" w:type="dxa"/>
          </w:tcPr>
          <w:p w14:paraId="1556D4D6" w14:textId="77777777" w:rsidR="00BF6BAB" w:rsidRPr="000959E1" w:rsidRDefault="00BF6BAB" w:rsidP="00BF6BAB">
            <w:pPr>
              <w:spacing w:line="360" w:lineRule="auto"/>
              <w:jc w:val="both"/>
              <w:rPr>
                <w:rFonts w:ascii="Times New Roman" w:eastAsia="Times New Roman" w:hAnsi="Times New Roman" w:cs="Times New Roman"/>
                <w:b/>
                <w:sz w:val="24"/>
                <w:szCs w:val="24"/>
              </w:rPr>
            </w:pPr>
            <w:r w:rsidRPr="000959E1">
              <w:rPr>
                <w:rFonts w:ascii="Times New Roman" w:eastAsia="Times New Roman" w:hAnsi="Times New Roman" w:cs="Times New Roman"/>
                <w:b/>
                <w:sz w:val="24"/>
                <w:szCs w:val="24"/>
              </w:rPr>
              <w:t>T4b, N0-N+</w:t>
            </w:r>
          </w:p>
          <w:p w14:paraId="21AEF06E" w14:textId="3F2FE385" w:rsidR="00BF6BAB" w:rsidRDefault="00BF6BAB" w:rsidP="00BF6BAB">
            <w:pPr>
              <w:spacing w:line="360" w:lineRule="auto"/>
              <w:jc w:val="both"/>
              <w:rPr>
                <w:rFonts w:ascii="Times New Roman" w:eastAsia="Times New Roman" w:hAnsi="Times New Roman" w:cs="Times New Roman"/>
                <w:b/>
                <w:sz w:val="24"/>
                <w:szCs w:val="24"/>
              </w:rPr>
            </w:pPr>
            <w:r w:rsidRPr="000959E1">
              <w:rPr>
                <w:rFonts w:ascii="Times New Roman" w:eastAsia="Times New Roman" w:hAnsi="Times New Roman" w:cs="Times New Roman"/>
                <w:b/>
                <w:sz w:val="24"/>
                <w:szCs w:val="24"/>
              </w:rPr>
              <w:t>(non resecabile)</w:t>
            </w:r>
          </w:p>
        </w:tc>
        <w:tc>
          <w:tcPr>
            <w:tcW w:w="4758" w:type="dxa"/>
          </w:tcPr>
          <w:p w14:paraId="336EA18D"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xml:space="preserve">CT esclusiva </w:t>
            </w:r>
          </w:p>
          <w:p w14:paraId="36387930"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CRT definitiva (RT 50.4 Gy, NB: no 60 Gy) in casi selezionati</w:t>
            </w:r>
          </w:p>
          <w:p w14:paraId="2F8DED8C" w14:textId="77777777" w:rsidR="00BF6BAB" w:rsidRPr="000959E1" w:rsidRDefault="00BF6BAB" w:rsidP="00BF6BAB">
            <w:pPr>
              <w:spacing w:line="360" w:lineRule="auto"/>
              <w:rPr>
                <w:rFonts w:ascii="Times New Roman" w:eastAsia="Times New Roman" w:hAnsi="Times New Roman" w:cs="Times New Roman"/>
                <w:sz w:val="24"/>
                <w:szCs w:val="24"/>
              </w:rPr>
            </w:pPr>
            <w:r w:rsidRPr="000959E1">
              <w:rPr>
                <w:rFonts w:ascii="Times New Roman" w:eastAsia="Times New Roman" w:hAnsi="Times New Roman" w:cs="Times New Roman"/>
                <w:sz w:val="24"/>
                <w:szCs w:val="24"/>
              </w:rPr>
              <w:t xml:space="preserve"> CT esclusiva come prima linea (se infiltrazione aorta, trachea ecc tale da </w:t>
            </w:r>
          </w:p>
          <w:p w14:paraId="4F4A6A27" w14:textId="72DED5CB" w:rsidR="00BF6BAB" w:rsidRDefault="00BF6BAB" w:rsidP="00BF6BAB">
            <w:pPr>
              <w:spacing w:line="360" w:lineRule="auto"/>
              <w:jc w:val="both"/>
              <w:rPr>
                <w:rFonts w:ascii="Times New Roman" w:eastAsia="Times New Roman" w:hAnsi="Times New Roman" w:cs="Times New Roman"/>
                <w:b/>
                <w:sz w:val="24"/>
                <w:szCs w:val="24"/>
              </w:rPr>
            </w:pPr>
            <w:r w:rsidRPr="000959E1">
              <w:rPr>
                <w:rFonts w:ascii="Times New Roman" w:eastAsia="Times New Roman" w:hAnsi="Times New Roman" w:cs="Times New Roman"/>
                <w:sz w:val="24"/>
                <w:szCs w:val="24"/>
              </w:rPr>
              <w:t>cointroindicare RT)</w:t>
            </w:r>
          </w:p>
        </w:tc>
      </w:tr>
    </w:tbl>
    <w:p w14:paraId="387437B7" w14:textId="77777777" w:rsidR="00BF6BAB" w:rsidRDefault="00BF6BAB" w:rsidP="000959E1">
      <w:pPr>
        <w:spacing w:line="360" w:lineRule="auto"/>
        <w:ind w:left="120"/>
        <w:jc w:val="both"/>
        <w:rPr>
          <w:rFonts w:ascii="Times New Roman" w:eastAsia="Times New Roman" w:hAnsi="Times New Roman" w:cs="Times New Roman"/>
          <w:b/>
          <w:sz w:val="24"/>
          <w:szCs w:val="24"/>
        </w:rPr>
      </w:pPr>
    </w:p>
    <w:p w14:paraId="09B2A10C" w14:textId="77777777" w:rsidR="000959E1" w:rsidRPr="000959E1" w:rsidRDefault="000959E1" w:rsidP="000959E1">
      <w:pPr>
        <w:spacing w:line="360" w:lineRule="auto"/>
        <w:ind w:left="120"/>
        <w:jc w:val="both"/>
        <w:rPr>
          <w:rFonts w:ascii="Times New Roman" w:eastAsia="Times New Roman" w:hAnsi="Times New Roman" w:cs="Times New Roman"/>
          <w:b/>
          <w:sz w:val="24"/>
          <w:szCs w:val="24"/>
        </w:rPr>
      </w:pPr>
    </w:p>
    <w:p w14:paraId="2F390A7E" w14:textId="77777777" w:rsidR="00955A9B" w:rsidRDefault="00955A9B" w:rsidP="00955A9B">
      <w:pPr>
        <w:spacing w:line="360" w:lineRule="auto"/>
        <w:ind w:right="1040"/>
        <w:jc w:val="both"/>
        <w:rPr>
          <w:rFonts w:ascii="Times New Roman" w:eastAsia="Times New Roman" w:hAnsi="Times New Roman" w:cs="Times New Roman"/>
          <w:b/>
          <w:sz w:val="24"/>
          <w:szCs w:val="24"/>
        </w:rPr>
      </w:pPr>
    </w:p>
    <w:p w14:paraId="1A334607" w14:textId="2D83AAB7" w:rsidR="00955A9B" w:rsidRPr="00955A9B" w:rsidRDefault="00955A9B" w:rsidP="00955A9B">
      <w:pPr>
        <w:spacing w:line="360" w:lineRule="auto"/>
        <w:ind w:right="1040"/>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PERCORSO TERAPEUTICO PER PAZIENTE CON NEOPLASIA ESOFAGEA ACCERTATA ED IN FASE AVANZATA</w:t>
      </w:r>
    </w:p>
    <w:p w14:paraId="3C1249E5" w14:textId="77777777" w:rsidR="00955A9B" w:rsidRDefault="00955A9B" w:rsidP="00955A9B">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Si riporta in tabella 8 il percorso terapeutico per persone affette da neoplasia esofagea in fase localmente avanzata non resecabile o metastatica. I percorsi indicati sono stati costruiti in base alle raccomandazioni presenti nelle principali linee guida nazionali ed internazionali più aggiornate, e saranno modificati secondo la loro evoluzione.</w:t>
      </w:r>
    </w:p>
    <w:p w14:paraId="35C9DA63" w14:textId="140322F7" w:rsidR="0061166C" w:rsidRDefault="0061166C" w:rsidP="00955A9B">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Il GOM valuterà il paziente nella sua interezza, considerando sia trattamenti standard sia l’inserimento in protocolli clinici per farmaci innovativi, sempre dopo aver discusso con il paziente e tenendo conto delle sue volontà e possibilità. Inoltre, Il GOM dovrà valutare la sintomatologia del paziente e supportarlo nella palliazione dei sintomi mediante un rapporto nutrizionistico continuativo, un consueling psiconcologico, un consueling genetico in caso si sospetti una patologia ereditaria, un supporto antalgico e l’esecuzione di interventi chirurgici o endoscopici palliativi in caso di sanguinamenti o stenosi serrate. Tale scopo sarà raggiunto mediante l’atti</w:t>
      </w:r>
      <w:r>
        <w:rPr>
          <w:rFonts w:ascii="Times New Roman" w:eastAsia="Times New Roman" w:hAnsi="Times New Roman" w:cs="Times New Roman"/>
          <w:sz w:val="24"/>
          <w:szCs w:val="24"/>
        </w:rPr>
        <w:t>vazione da parte del</w:t>
      </w:r>
      <w:r w:rsidRPr="00955A9B">
        <w:rPr>
          <w:rFonts w:ascii="Times New Roman" w:eastAsia="Times New Roman" w:hAnsi="Times New Roman" w:cs="Times New Roman"/>
          <w:sz w:val="24"/>
          <w:szCs w:val="24"/>
        </w:rPr>
        <w:t xml:space="preserve"> Case Manager di GOM di consulenze presso gli ambulatori dedicati presso l’UOC di Nutrizione clinica, servizio di psiconcologia, UOC Genetica medica, UOC anestesiologia e terapia del dolore afferenti al GOM stesso.</w:t>
      </w:r>
    </w:p>
    <w:p w14:paraId="1501FA13" w14:textId="77777777" w:rsidR="0061166C" w:rsidRDefault="0061166C" w:rsidP="00955A9B">
      <w:pPr>
        <w:spacing w:line="360" w:lineRule="auto"/>
        <w:ind w:right="20"/>
        <w:jc w:val="both"/>
        <w:rPr>
          <w:rFonts w:ascii="Times New Roman" w:eastAsia="Times New Roman" w:hAnsi="Times New Roman" w:cs="Times New Roman"/>
          <w:sz w:val="24"/>
          <w:szCs w:val="24"/>
        </w:rPr>
      </w:pPr>
    </w:p>
    <w:p w14:paraId="26BF28E2" w14:textId="08CE192C" w:rsidR="0061166C" w:rsidRPr="00082046" w:rsidRDefault="0061166C" w:rsidP="00955A9B">
      <w:pPr>
        <w:spacing w:line="360" w:lineRule="auto"/>
        <w:ind w:right="20"/>
        <w:jc w:val="both"/>
        <w:rPr>
          <w:rFonts w:ascii="Times New Roman" w:eastAsia="Times New Roman" w:hAnsi="Times New Roman" w:cs="Times New Roman"/>
          <w:b/>
          <w:bCs/>
          <w:sz w:val="24"/>
          <w:szCs w:val="24"/>
        </w:rPr>
      </w:pPr>
      <w:r w:rsidRPr="00082046">
        <w:rPr>
          <w:rFonts w:ascii="Times New Roman" w:eastAsia="Times New Roman" w:hAnsi="Times New Roman" w:cs="Times New Roman"/>
          <w:b/>
          <w:bCs/>
          <w:sz w:val="24"/>
          <w:szCs w:val="24"/>
        </w:rPr>
        <w:t>Adenocarcinoma</w:t>
      </w:r>
    </w:p>
    <w:p w14:paraId="48B29EC5" w14:textId="77777777" w:rsidR="0061166C" w:rsidRDefault="0061166C" w:rsidP="0061166C">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 xml:space="preserve">In caso di tumore localmente avanzato, è indispensabile </w:t>
      </w:r>
      <w:r>
        <w:rPr>
          <w:rFonts w:ascii="Times New Roman" w:eastAsia="Times New Roman" w:hAnsi="Times New Roman" w:cs="Times New Roman"/>
          <w:sz w:val="24"/>
          <w:szCs w:val="24"/>
        </w:rPr>
        <w:t xml:space="preserve">inoltre </w:t>
      </w:r>
      <w:r w:rsidRPr="00955A9B">
        <w:rPr>
          <w:rFonts w:ascii="Times New Roman" w:eastAsia="Times New Roman" w:hAnsi="Times New Roman" w:cs="Times New Roman"/>
          <w:sz w:val="24"/>
          <w:szCs w:val="24"/>
        </w:rPr>
        <w:t>una corretta e attenta valutazione della potenziale resecabilità della neoplasia (anche attraverso l'esecuzione di un'accurata stadiazione loco-regionale mediante ecoendoscopia e 18 FDG PET nei centri di riferimento)</w:t>
      </w:r>
    </w:p>
    <w:p w14:paraId="4C708084" w14:textId="57612C7B" w:rsidR="0061166C" w:rsidRPr="00955A9B" w:rsidRDefault="0061166C" w:rsidP="0061166C">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.I pazienti con tumore localmente avanzato, ma potenzialmente resecabile, saranno sottoposti a polichemioterapia di conversione neoadiuvante nell'ambito di strategia perioperatoria secondo le più recenti evidenze, con rivalutazioni strumentali al termine della fase primaria al fine di valutarne l’operabilità. Le figure professionali coinvolte nella valutazione pre-trattamento e nella rivalutazione saranno principalmente l’Oncologo medico, il radiologo, il medico nucleare ed il Chirurgo. In caso di non risposta al trattamento o di malattia localmente avanzata, ma non resecabile alla diagnosi, il paziente verrà sottoposto ad un trattamento chemioterapico di I linea (vedi malattia metastatica).</w:t>
      </w:r>
      <w:r>
        <w:rPr>
          <w:rFonts w:ascii="Times New Roman" w:eastAsia="Times New Roman" w:hAnsi="Times New Roman" w:cs="Times New Roman"/>
          <w:sz w:val="24"/>
          <w:szCs w:val="24"/>
        </w:rPr>
        <w:t xml:space="preserve"> Alla luce delle più recenti evidenze, la chemioradioterapia deve essere presa in considerazione solo in casi selezionati (ex. malattia bulky). </w:t>
      </w:r>
    </w:p>
    <w:p w14:paraId="50E2C897" w14:textId="12D47342" w:rsidR="0061166C" w:rsidRDefault="0061166C" w:rsidP="006116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Nella malattia localmente avanzata inoperabile / metastatica, un </w:t>
      </w:r>
      <w:r w:rsidRPr="00955A9B">
        <w:rPr>
          <w:rFonts w:ascii="Times New Roman" w:eastAsia="Times New Roman" w:hAnsi="Times New Roman" w:cs="Times New Roman"/>
          <w:sz w:val="24"/>
          <w:szCs w:val="24"/>
        </w:rPr>
        <w:t>fattor</w:t>
      </w:r>
      <w:r>
        <w:rPr>
          <w:rFonts w:ascii="Times New Roman" w:eastAsia="Times New Roman" w:hAnsi="Times New Roman" w:cs="Times New Roman"/>
          <w:sz w:val="24"/>
          <w:szCs w:val="24"/>
        </w:rPr>
        <w:t>e</w:t>
      </w:r>
      <w:r w:rsidRPr="00955A9B">
        <w:rPr>
          <w:rFonts w:ascii="Times New Roman" w:eastAsia="Times New Roman" w:hAnsi="Times New Roman" w:cs="Times New Roman"/>
          <w:sz w:val="24"/>
          <w:szCs w:val="24"/>
        </w:rPr>
        <w:t xml:space="preserve"> predittiv</w:t>
      </w:r>
      <w:r>
        <w:rPr>
          <w:rFonts w:ascii="Times New Roman" w:eastAsia="Times New Roman" w:hAnsi="Times New Roman" w:cs="Times New Roman"/>
          <w:sz w:val="24"/>
          <w:szCs w:val="24"/>
        </w:rPr>
        <w:t>o oggi fondamentale</w:t>
      </w:r>
      <w:r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 la scelta della terapia di I linea è</w:t>
      </w:r>
      <w:r w:rsidRPr="00955A9B">
        <w:rPr>
          <w:rFonts w:ascii="Times New Roman" w:eastAsia="Times New Roman" w:hAnsi="Times New Roman" w:cs="Times New Roman"/>
          <w:sz w:val="24"/>
          <w:szCs w:val="24"/>
        </w:rPr>
        <w:t xml:space="preserve"> rappresentat</w:t>
      </w:r>
      <w:r>
        <w:rPr>
          <w:rFonts w:ascii="Times New Roman" w:eastAsia="Times New Roman" w:hAnsi="Times New Roman" w:cs="Times New Roman"/>
          <w:sz w:val="24"/>
          <w:szCs w:val="24"/>
        </w:rPr>
        <w:t xml:space="preserve">o </w:t>
      </w:r>
      <w:r w:rsidRPr="00955A9B">
        <w:rPr>
          <w:rFonts w:ascii="Times New Roman" w:eastAsia="Times New Roman" w:hAnsi="Times New Roman" w:cs="Times New Roman"/>
          <w:sz w:val="24"/>
          <w:szCs w:val="24"/>
        </w:rPr>
        <w:t>dal PD-L1 CPS</w:t>
      </w:r>
      <w:r>
        <w:rPr>
          <w:rFonts w:ascii="Times New Roman" w:eastAsia="Times New Roman" w:hAnsi="Times New Roman" w:cs="Times New Roman"/>
          <w:sz w:val="24"/>
          <w:szCs w:val="24"/>
        </w:rPr>
        <w:t xml:space="preserve">, </w:t>
      </w:r>
      <w:r w:rsidRPr="00955A9B">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considerazione</w:t>
      </w:r>
      <w:r w:rsidRPr="00955A9B">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ella</w:t>
      </w:r>
      <w:r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possibilità di offrire</w:t>
      </w:r>
      <w:r w:rsidRPr="00955A9B">
        <w:rPr>
          <w:rFonts w:ascii="Times New Roman" w:eastAsia="Times New Roman" w:hAnsi="Times New Roman" w:cs="Times New Roman"/>
          <w:sz w:val="24"/>
          <w:szCs w:val="24"/>
        </w:rPr>
        <w:t xml:space="preserve"> chemio-immunoterapi</w:t>
      </w:r>
      <w:r>
        <w:rPr>
          <w:rFonts w:ascii="Times New Roman" w:eastAsia="Times New Roman" w:hAnsi="Times New Roman" w:cs="Times New Roman"/>
          <w:sz w:val="24"/>
          <w:szCs w:val="24"/>
        </w:rPr>
        <w:t>a di I linea</w:t>
      </w:r>
      <w:r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 platino-fluorouracile + Pembrolizumab </w:t>
      </w:r>
      <w:r w:rsidRPr="00955A9B">
        <w:rPr>
          <w:rFonts w:ascii="Times New Roman" w:eastAsia="Times New Roman" w:hAnsi="Times New Roman" w:cs="Times New Roman"/>
          <w:sz w:val="24"/>
          <w:szCs w:val="24"/>
        </w:rPr>
        <w:t xml:space="preserve">in pazienti </w:t>
      </w:r>
      <w:r>
        <w:rPr>
          <w:rFonts w:ascii="Times New Roman" w:eastAsia="Times New Roman" w:hAnsi="Times New Roman" w:cs="Times New Roman"/>
          <w:sz w:val="24"/>
          <w:szCs w:val="24"/>
        </w:rPr>
        <w:t xml:space="preserve">PD-L1 CPS </w:t>
      </w:r>
      <w:r w:rsidRPr="00063303">
        <w:rPr>
          <w:rFonts w:ascii="Times New Roman" w:eastAsia="Times New Roman" w:hAnsi="Times New Roman" w:cs="Times New Roman"/>
          <w:sz w:val="24"/>
          <w:szCs w:val="24"/>
          <w:u w:val="single"/>
        </w:rPr>
        <w:t>&gt;</w:t>
      </w:r>
      <w:r>
        <w:rPr>
          <w:rFonts w:ascii="Times New Roman" w:eastAsia="Times New Roman" w:hAnsi="Times New Roman" w:cs="Times New Roman"/>
          <w:sz w:val="24"/>
          <w:szCs w:val="24"/>
        </w:rPr>
        <w:t xml:space="preserve">10 (adenocarcinomi esofagei e giunzionali Siewert 1), sulla base dei risultati dello studio di fase III Kenyote 590, o di chemio-immunoterapia con CAPOX / FOLFOX + Nivolumab nei pazienti PD-L1 CPS </w:t>
      </w:r>
      <w:r w:rsidRPr="00752883">
        <w:rPr>
          <w:rFonts w:ascii="Times New Roman" w:eastAsia="Times New Roman" w:hAnsi="Times New Roman" w:cs="Times New Roman"/>
          <w:sz w:val="24"/>
          <w:szCs w:val="24"/>
          <w:u w:val="single"/>
        </w:rPr>
        <w:t>&gt;</w:t>
      </w:r>
      <w:r>
        <w:rPr>
          <w:rFonts w:ascii="Times New Roman" w:eastAsia="Times New Roman" w:hAnsi="Times New Roman" w:cs="Times New Roman"/>
          <w:sz w:val="24"/>
          <w:szCs w:val="24"/>
        </w:rPr>
        <w:t>5 (istologia adenocarcinoma con sede esofagea e giunzionale Siewert 1-2-3) ), sulla base dei risultati dello studio di fase III Checkmate649.</w:t>
      </w:r>
      <w:r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Fondamentale</w:t>
      </w:r>
      <w:r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è inoltre </w:t>
      </w:r>
      <w:r w:rsidRPr="00955A9B">
        <w:rPr>
          <w:rFonts w:ascii="Times New Roman" w:eastAsia="Times New Roman" w:hAnsi="Times New Roman" w:cs="Times New Roman"/>
          <w:sz w:val="24"/>
          <w:szCs w:val="24"/>
        </w:rPr>
        <w:t>la valutazione dello stato di HER-2 (</w:t>
      </w:r>
      <w:r w:rsidRPr="009278FA">
        <w:rPr>
          <w:rFonts w:ascii="Times New Roman" w:eastAsia="Times New Roman" w:hAnsi="Times New Roman" w:cs="Times New Roman"/>
          <w:i/>
          <w:iCs/>
          <w:sz w:val="24"/>
          <w:szCs w:val="24"/>
        </w:rPr>
        <w:t>limitatamente agli adenocarcinomi distali con coinvolgimento della giunzione gastro-esofagea</w:t>
      </w:r>
      <w:r w:rsidRPr="00955A9B">
        <w:rPr>
          <w:rFonts w:ascii="Times New Roman" w:eastAsia="Times New Roman" w:hAnsi="Times New Roman" w:cs="Times New Roman"/>
          <w:sz w:val="24"/>
          <w:szCs w:val="24"/>
        </w:rPr>
        <w:t xml:space="preserve">) mediante tecnica immunoistochimica e di ibridazione in situ nei casi di dubbia positività (2+). Tale valutazione deve necessariamente essere effettuata presso centri di anatomia patologica accreditati nell’ambito di strutture di I livello ed il risultato dovrà essere disponibile entro 7 giorni lavorativi dalla richiesta, salvo difficoltà tecniche caso specifiche. </w:t>
      </w:r>
    </w:p>
    <w:p w14:paraId="75CCC9E0" w14:textId="65682A24" w:rsidR="0061166C" w:rsidRDefault="0061166C" w:rsidP="006116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positività dell’espressione del recettore di HER-2 (i.e. HER-2 2+ amplificato alla ISH o HER-2 3+), consente di candidare il paziente con adenocarcinoma dell0’esofago distale a ricevere una 1° linea di terapia con Sali di Platino, Fluoripirimidine e Trastuzumab in accordo con i risultati dello studio ToGA. In presenza di positività per HER-2 e di un PD-L1 </w:t>
      </w:r>
      <w:r w:rsidRPr="00F9594D">
        <w:rPr>
          <w:rFonts w:ascii="Times New Roman" w:eastAsia="Times New Roman" w:hAnsi="Times New Roman" w:cs="Times New Roman"/>
          <w:sz w:val="24"/>
          <w:szCs w:val="24"/>
        </w:rPr>
        <w:t>CPS</w:t>
      </w:r>
      <w:r>
        <w:rPr>
          <w:rFonts w:ascii="Times New Roman" w:eastAsia="Times New Roman" w:hAnsi="Times New Roman" w:cs="Times New Roman"/>
          <w:sz w:val="24"/>
          <w:szCs w:val="24"/>
        </w:rPr>
        <w:t xml:space="preserve"> </w:t>
      </w:r>
      <w:r w:rsidRPr="00DB0E72">
        <w:rPr>
          <w:rFonts w:ascii="Times New Roman" w:eastAsia="Times New Roman" w:hAnsi="Times New Roman" w:cs="Times New Roman"/>
          <w:sz w:val="24"/>
          <w:szCs w:val="24"/>
        </w:rPr>
        <w:t>≥</w:t>
      </w:r>
      <w:r w:rsidRPr="00EF651F">
        <w:rPr>
          <w:rFonts w:ascii="Times New Roman" w:eastAsia="Times New Roman" w:hAnsi="Times New Roman" w:cs="Times New Roman"/>
          <w:sz w:val="24"/>
          <w:szCs w:val="24"/>
        </w:rPr>
        <w:t>1</w:t>
      </w:r>
      <w:r>
        <w:rPr>
          <w:rFonts w:ascii="Times New Roman" w:eastAsia="Times New Roman" w:hAnsi="Times New Roman" w:cs="Times New Roman"/>
          <w:sz w:val="24"/>
          <w:szCs w:val="24"/>
        </w:rPr>
        <w:t>, sulla base dei risultati dello studio Keynote 811, si deve prendere in considerazione un trattamento che prevenda anche l’utilizzo dell’immunoterapia (Sali di Platino, Fluoripirimidine, Trastuzumab e Pembrolizumab).</w:t>
      </w:r>
    </w:p>
    <w:p w14:paraId="6962996B" w14:textId="77777777" w:rsidR="0061166C" w:rsidRDefault="0061166C" w:rsidP="006116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Inoltre, un ulteriore biomarcatore da testare negli adenocarcinomi (limitatamente alla sede giunzionale, Siewert III) è</w:t>
      </w:r>
      <w:r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 </w:t>
      </w:r>
      <w:r w:rsidRPr="00955A9B">
        <w:rPr>
          <w:rFonts w:ascii="Times New Roman" w:eastAsia="Times New Roman" w:hAnsi="Times New Roman" w:cs="Times New Roman"/>
          <w:sz w:val="24"/>
          <w:szCs w:val="24"/>
        </w:rPr>
        <w:t>stato MSI</w:t>
      </w:r>
      <w:r>
        <w:rPr>
          <w:rFonts w:ascii="Times New Roman" w:eastAsia="Times New Roman" w:hAnsi="Times New Roman" w:cs="Times New Roman"/>
          <w:sz w:val="24"/>
          <w:szCs w:val="24"/>
        </w:rPr>
        <w:t>, in considerazione della recente approvazione di Pembrolizumab in pazienti con malattia MSI-H in (dalla) seconda linea non pretrattati con un immunoterapico nel carcinoma gastrico (cui il Siewert III viene assimilato)</w:t>
      </w:r>
      <w:r w:rsidRPr="00955A9B">
        <w:rPr>
          <w:rFonts w:ascii="Times New Roman" w:eastAsia="Times New Roman" w:hAnsi="Times New Roman" w:cs="Times New Roman"/>
          <w:sz w:val="24"/>
          <w:szCs w:val="24"/>
        </w:rPr>
        <w:t xml:space="preserve">. </w:t>
      </w:r>
    </w:p>
    <w:p w14:paraId="06A47A7C" w14:textId="41D4FB4B" w:rsidR="0061166C" w:rsidRDefault="0061166C" w:rsidP="006116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955A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indispensabile, quindi,</w:t>
      </w:r>
      <w:r w:rsidRPr="00955A9B">
        <w:rPr>
          <w:rFonts w:ascii="Times New Roman" w:eastAsia="Times New Roman" w:hAnsi="Times New Roman" w:cs="Times New Roman"/>
          <w:sz w:val="24"/>
          <w:szCs w:val="24"/>
        </w:rPr>
        <w:t xml:space="preserve"> che il risultato</w:t>
      </w:r>
      <w:r>
        <w:rPr>
          <w:rFonts w:ascii="Times New Roman" w:eastAsia="Times New Roman" w:hAnsi="Times New Roman" w:cs="Times New Roman"/>
          <w:sz w:val="24"/>
          <w:szCs w:val="24"/>
        </w:rPr>
        <w:t xml:space="preserve"> di queste analisi (PDL1 CPS; MSI status ed HER2</w:t>
      </w:r>
      <w:r w:rsidR="000D17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nei pazienti con adenocarcinoma giunzionale</w:t>
      </w:r>
      <w:r w:rsidR="000D17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sia</w:t>
      </w:r>
      <w:r w:rsidRPr="00955A9B">
        <w:rPr>
          <w:rFonts w:ascii="Times New Roman" w:eastAsia="Times New Roman" w:hAnsi="Times New Roman" w:cs="Times New Roman"/>
          <w:sz w:val="24"/>
          <w:szCs w:val="24"/>
        </w:rPr>
        <w:t xml:space="preserve"> disponibile </w:t>
      </w:r>
      <w:r w:rsidRPr="008D14A8">
        <w:rPr>
          <w:rFonts w:ascii="Times New Roman" w:eastAsia="Times New Roman" w:hAnsi="Times New Roman" w:cs="Times New Roman"/>
          <w:sz w:val="24"/>
          <w:szCs w:val="24"/>
          <w:u w:val="single"/>
        </w:rPr>
        <w:t>prima</w:t>
      </w:r>
      <w:r w:rsidRPr="00955A9B">
        <w:rPr>
          <w:rFonts w:ascii="Times New Roman" w:eastAsia="Times New Roman" w:hAnsi="Times New Roman" w:cs="Times New Roman"/>
          <w:sz w:val="24"/>
          <w:szCs w:val="24"/>
        </w:rPr>
        <w:t xml:space="preserve"> dell’inizio del trattamento di I linea. </w:t>
      </w:r>
    </w:p>
    <w:p w14:paraId="49B1C08C" w14:textId="77777777" w:rsidR="0061166C" w:rsidRDefault="0061166C" w:rsidP="0061166C">
      <w:pPr>
        <w:spacing w:line="360" w:lineRule="auto"/>
        <w:jc w:val="both"/>
        <w:rPr>
          <w:rFonts w:ascii="Times New Roman" w:eastAsia="Times New Roman" w:hAnsi="Times New Roman" w:cs="Times New Roman"/>
          <w:sz w:val="24"/>
          <w:szCs w:val="24"/>
        </w:rPr>
      </w:pPr>
    </w:p>
    <w:p w14:paraId="4B2943DF" w14:textId="77777777" w:rsidR="0061166C" w:rsidRDefault="0061166C" w:rsidP="0061166C">
      <w:pPr>
        <w:spacing w:line="360" w:lineRule="auto"/>
        <w:jc w:val="both"/>
        <w:rPr>
          <w:rFonts w:ascii="Times New Roman" w:eastAsia="Times New Roman" w:hAnsi="Times New Roman" w:cs="Times New Roman"/>
          <w:sz w:val="24"/>
          <w:szCs w:val="24"/>
        </w:rPr>
      </w:pPr>
    </w:p>
    <w:p w14:paraId="12997333" w14:textId="79F5F402" w:rsidR="0061166C" w:rsidRPr="00082046" w:rsidRDefault="0061166C" w:rsidP="0061166C">
      <w:pPr>
        <w:spacing w:line="360" w:lineRule="auto"/>
        <w:jc w:val="both"/>
        <w:rPr>
          <w:rFonts w:ascii="Times New Roman" w:eastAsia="Times New Roman" w:hAnsi="Times New Roman" w:cs="Times New Roman"/>
          <w:b/>
          <w:bCs/>
          <w:sz w:val="24"/>
          <w:szCs w:val="24"/>
        </w:rPr>
      </w:pPr>
      <w:r w:rsidRPr="00082046">
        <w:rPr>
          <w:rFonts w:ascii="Times New Roman" w:eastAsia="Times New Roman" w:hAnsi="Times New Roman" w:cs="Times New Roman"/>
          <w:b/>
          <w:bCs/>
          <w:sz w:val="24"/>
          <w:szCs w:val="24"/>
        </w:rPr>
        <w:t>Carcinoma squamoso</w:t>
      </w:r>
    </w:p>
    <w:p w14:paraId="19213F21" w14:textId="4AFFD1C3" w:rsidR="00955A9B" w:rsidRDefault="00955A9B" w:rsidP="00955A9B">
      <w:pPr>
        <w:spacing w:line="360" w:lineRule="auto"/>
        <w:ind w:right="20"/>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È opportuno considerare l’impatto della neoplasia sulle vie aeree (nelle forme cervicali e toraciche superiori) valutando l’effettuazione di una broncoscopia stadiativa e di un’eventuale consulenza ORL.</w:t>
      </w:r>
    </w:p>
    <w:p w14:paraId="55BBF76F" w14:textId="0C25760B" w:rsidR="000D17F6" w:rsidRDefault="000D17F6" w:rsidP="00955A9B">
      <w:pPr>
        <w:spacing w:line="360" w:lineRule="auto"/>
        <w:ind w:right="20"/>
        <w:jc w:val="both"/>
        <w:rPr>
          <w:rFonts w:ascii="Times New Roman" w:eastAsia="Times New Roman" w:hAnsi="Times New Roman" w:cs="Times New Roman"/>
          <w:sz w:val="24"/>
          <w:szCs w:val="24"/>
        </w:rPr>
      </w:pPr>
      <w:r w:rsidRPr="000D17F6">
        <w:rPr>
          <w:rFonts w:ascii="Times New Roman" w:eastAsia="Times New Roman" w:hAnsi="Times New Roman" w:cs="Times New Roman"/>
          <w:sz w:val="24"/>
          <w:szCs w:val="24"/>
        </w:rPr>
        <w:t>Nel carcinoma squamoso dell’esofago localmente avanzato resecabile, il trattamento di riferimento consiste nella chemioradioterapia neoadiuvante secondo schema CROSS (carboplatino e paclitaxel associati a radioterapia 41,4 Gy in 23 frazioni), seguita da intervento chirurgico.</w:t>
      </w:r>
    </w:p>
    <w:p w14:paraId="3CE06A55" w14:textId="6FBC6261" w:rsidR="000D17F6" w:rsidRDefault="000D17F6" w:rsidP="00955A9B">
      <w:pPr>
        <w:spacing w:line="360" w:lineRule="auto"/>
        <w:ind w:right="20"/>
        <w:jc w:val="both"/>
        <w:rPr>
          <w:rFonts w:ascii="Times New Roman" w:eastAsia="Times New Roman" w:hAnsi="Times New Roman" w:cs="Times New Roman"/>
          <w:sz w:val="24"/>
          <w:szCs w:val="24"/>
        </w:rPr>
      </w:pPr>
      <w:r w:rsidRPr="000D17F6">
        <w:rPr>
          <w:rFonts w:ascii="Times New Roman" w:eastAsia="Times New Roman" w:hAnsi="Times New Roman" w:cs="Times New Roman"/>
          <w:sz w:val="24"/>
          <w:szCs w:val="24"/>
        </w:rPr>
        <w:t>In alternativa, nei casi in cui il paziente non sia candidabile alla chirurgia o nei tumori localizzati a livello cervicale, è possibile optare per un trattamento con chemioradioterapia definitiva</w:t>
      </w:r>
      <w:r>
        <w:rPr>
          <w:rFonts w:ascii="Times New Roman" w:eastAsia="Times New Roman" w:hAnsi="Times New Roman" w:cs="Times New Roman"/>
          <w:sz w:val="24"/>
          <w:szCs w:val="24"/>
        </w:rPr>
        <w:t xml:space="preserve"> utilizzando carboplatino e paclitaxel associati a radioterapia (</w:t>
      </w:r>
      <w:r w:rsidRPr="000D17F6">
        <w:rPr>
          <w:rFonts w:ascii="Times New Roman" w:eastAsia="Times New Roman" w:hAnsi="Times New Roman" w:cs="Times New Roman"/>
          <w:sz w:val="24"/>
          <w:szCs w:val="24"/>
        </w:rPr>
        <w:t>50,4 Gy in 28 frazioni</w:t>
      </w:r>
      <w:r>
        <w:rPr>
          <w:rFonts w:ascii="Times New Roman" w:eastAsia="Times New Roman" w:hAnsi="Times New Roman" w:cs="Times New Roman"/>
          <w:sz w:val="24"/>
          <w:szCs w:val="24"/>
        </w:rPr>
        <w:t>)</w:t>
      </w:r>
      <w:r w:rsidRPr="000D17F6">
        <w:rPr>
          <w:rFonts w:ascii="Times New Roman" w:eastAsia="Times New Roman" w:hAnsi="Times New Roman" w:cs="Times New Roman"/>
          <w:sz w:val="24"/>
          <w:szCs w:val="24"/>
        </w:rPr>
        <w:t>, seguito da stretta sorveglianza clinico-radiologica e chirurgia di salvataggio in caso di persistenza o progressione locale della malattia.</w:t>
      </w:r>
    </w:p>
    <w:p w14:paraId="24C69EB7" w14:textId="150377A9" w:rsidR="000D17F6" w:rsidRPr="000D17F6" w:rsidRDefault="000D17F6" w:rsidP="000D17F6">
      <w:pPr>
        <w:spacing w:line="360" w:lineRule="auto"/>
        <w:ind w:right="20"/>
        <w:jc w:val="both"/>
        <w:rPr>
          <w:rFonts w:ascii="Times New Roman" w:eastAsia="Times New Roman" w:hAnsi="Times New Roman" w:cs="Times New Roman"/>
          <w:sz w:val="24"/>
          <w:szCs w:val="24"/>
        </w:rPr>
      </w:pPr>
      <w:r w:rsidRPr="000D17F6">
        <w:rPr>
          <w:rFonts w:ascii="Times New Roman" w:eastAsia="Times New Roman" w:hAnsi="Times New Roman" w:cs="Times New Roman"/>
          <w:sz w:val="24"/>
          <w:szCs w:val="24"/>
        </w:rPr>
        <w:t>Ai fini della scelta del trattamento sistemico di prima linea nei pazienti con carcinoma squamoso dell’esofago avanzato o metastatico, è fondamentale la determinazione dello stato di espressione di PD-L1, valutato secondo CPS (Combined Positive Score)</w:t>
      </w:r>
      <w:r>
        <w:rPr>
          <w:rFonts w:ascii="Times New Roman" w:eastAsia="Times New Roman" w:hAnsi="Times New Roman" w:cs="Times New Roman"/>
          <w:sz w:val="24"/>
          <w:szCs w:val="24"/>
        </w:rPr>
        <w:t xml:space="preserve"> e TPS (</w:t>
      </w:r>
      <w:r w:rsidRPr="000D17F6">
        <w:rPr>
          <w:rFonts w:ascii="Times New Roman" w:eastAsia="Times New Roman" w:hAnsi="Times New Roman" w:cs="Times New Roman"/>
          <w:sz w:val="24"/>
          <w:szCs w:val="24"/>
        </w:rPr>
        <w:t>Tumor Proportion Score</w:t>
      </w:r>
      <w:r>
        <w:rPr>
          <w:rFonts w:ascii="Times New Roman" w:eastAsia="Times New Roman" w:hAnsi="Times New Roman" w:cs="Times New Roman"/>
          <w:sz w:val="24"/>
          <w:szCs w:val="24"/>
        </w:rPr>
        <w:t>)</w:t>
      </w:r>
    </w:p>
    <w:p w14:paraId="5449DEE8" w14:textId="4A7217EA" w:rsidR="000D17F6" w:rsidRPr="000D17F6" w:rsidRDefault="000D17F6" w:rsidP="000D17F6">
      <w:pPr>
        <w:spacing w:line="360" w:lineRule="auto"/>
        <w:ind w:right="20"/>
        <w:jc w:val="both"/>
        <w:rPr>
          <w:rFonts w:ascii="Times New Roman" w:eastAsia="Times New Roman" w:hAnsi="Times New Roman" w:cs="Times New Roman"/>
          <w:sz w:val="24"/>
          <w:szCs w:val="24"/>
        </w:rPr>
      </w:pPr>
      <w:r w:rsidRPr="000D17F6">
        <w:rPr>
          <w:rFonts w:ascii="Times New Roman" w:eastAsia="Times New Roman" w:hAnsi="Times New Roman" w:cs="Times New Roman"/>
          <w:sz w:val="24"/>
          <w:szCs w:val="24"/>
        </w:rPr>
        <w:t>In presenza di PD-L1 CPS ≥10, è raccomandata l’associazione di chemioterapia e immunoterapia (ad esempio, pembrolizumab più sali di platino e fluoropirimidine), sulla base dei risultati dello studio KEYNOTE-590.</w:t>
      </w:r>
    </w:p>
    <w:p w14:paraId="644CFB3A" w14:textId="40F10018" w:rsidR="000D17F6" w:rsidRPr="000D17F6" w:rsidRDefault="000D17F6" w:rsidP="000D17F6">
      <w:pPr>
        <w:spacing w:line="360" w:lineRule="auto"/>
        <w:ind w:right="20"/>
        <w:jc w:val="both"/>
        <w:rPr>
          <w:rFonts w:ascii="Times New Roman" w:eastAsia="Times New Roman" w:hAnsi="Times New Roman" w:cs="Times New Roman"/>
          <w:sz w:val="24"/>
          <w:szCs w:val="24"/>
        </w:rPr>
      </w:pPr>
      <w:r w:rsidRPr="000D17F6">
        <w:rPr>
          <w:rFonts w:ascii="Times New Roman" w:eastAsia="Times New Roman" w:hAnsi="Times New Roman" w:cs="Times New Roman"/>
          <w:sz w:val="24"/>
          <w:szCs w:val="24"/>
        </w:rPr>
        <w:t>Se il PD-L1 TPS è ≥1%, è possibile considerare l’associazione di nivolumab e chemioterapia</w:t>
      </w:r>
      <w:r>
        <w:rPr>
          <w:rFonts w:ascii="Times New Roman" w:eastAsia="Times New Roman" w:hAnsi="Times New Roman" w:cs="Times New Roman"/>
          <w:sz w:val="24"/>
          <w:szCs w:val="24"/>
        </w:rPr>
        <w:t xml:space="preserve"> a base di platino e fluoripirimidine</w:t>
      </w:r>
      <w:r w:rsidRPr="000D17F6">
        <w:rPr>
          <w:rFonts w:ascii="Times New Roman" w:eastAsia="Times New Roman" w:hAnsi="Times New Roman" w:cs="Times New Roman"/>
          <w:sz w:val="24"/>
          <w:szCs w:val="24"/>
        </w:rPr>
        <w:t>, come indicato dallo studio CheckMate 648.</w:t>
      </w:r>
    </w:p>
    <w:p w14:paraId="784ECDFD" w14:textId="7027299A" w:rsidR="000D17F6" w:rsidRDefault="000D17F6" w:rsidP="000D17F6">
      <w:pPr>
        <w:spacing w:line="360" w:lineRule="auto"/>
        <w:ind w:right="20"/>
        <w:jc w:val="both"/>
        <w:rPr>
          <w:rFonts w:ascii="Times New Roman" w:eastAsia="Times New Roman" w:hAnsi="Times New Roman" w:cs="Times New Roman"/>
          <w:sz w:val="24"/>
          <w:szCs w:val="24"/>
        </w:rPr>
      </w:pPr>
      <w:r w:rsidRPr="000D17F6">
        <w:rPr>
          <w:rFonts w:ascii="Times New Roman" w:eastAsia="Times New Roman" w:hAnsi="Times New Roman" w:cs="Times New Roman"/>
          <w:sz w:val="24"/>
          <w:szCs w:val="24"/>
        </w:rPr>
        <w:t>Nei pazienti con PD-L1 negativo o con livelli inferiori alle soglie di selezione per l’immunoterapia, il trattamento di prima linea rimane rappresentato dalla chemioterapia standard con doppietta a base di platino e fluoropirimidine.</w:t>
      </w:r>
      <w:r w:rsidR="004B75DF">
        <w:rPr>
          <w:rFonts w:ascii="Times New Roman" w:eastAsia="Times New Roman" w:hAnsi="Times New Roman" w:cs="Times New Roman"/>
          <w:sz w:val="24"/>
          <w:szCs w:val="24"/>
        </w:rPr>
        <w:t xml:space="preserve"> I</w:t>
      </w:r>
      <w:r w:rsidR="004B75DF" w:rsidRPr="004B75DF">
        <w:rPr>
          <w:rFonts w:ascii="Times New Roman" w:eastAsia="Times New Roman" w:hAnsi="Times New Roman" w:cs="Times New Roman"/>
          <w:sz w:val="24"/>
          <w:szCs w:val="24"/>
        </w:rPr>
        <w:t>n questi pazienti, se si verifica progressione di malattia dopo la prima linea, è indicato il trattamento con nivolumab in monoterapia</w:t>
      </w:r>
      <w:r w:rsidR="004B75DF">
        <w:rPr>
          <w:rFonts w:ascii="Times New Roman" w:eastAsia="Times New Roman" w:hAnsi="Times New Roman" w:cs="Times New Roman"/>
          <w:sz w:val="24"/>
          <w:szCs w:val="24"/>
        </w:rPr>
        <w:t xml:space="preserve"> come trattamento di II linea</w:t>
      </w:r>
      <w:r w:rsidR="004B75DF" w:rsidRPr="004B75DF">
        <w:rPr>
          <w:rFonts w:ascii="Times New Roman" w:eastAsia="Times New Roman" w:hAnsi="Times New Roman" w:cs="Times New Roman"/>
          <w:sz w:val="24"/>
          <w:szCs w:val="24"/>
        </w:rPr>
        <w:t>, come documentato dallo studio ATTRACTION-3, indipendentemente dallo stato di PD-L1.</w:t>
      </w:r>
    </w:p>
    <w:p w14:paraId="511D9C52" w14:textId="09EC2DF5" w:rsidR="00A21A87" w:rsidRDefault="004B75DF" w:rsidP="00955A9B">
      <w:pPr>
        <w:spacing w:line="360" w:lineRule="auto"/>
        <w:ind w:left="120" w:right="40"/>
        <w:jc w:val="both"/>
        <w:rPr>
          <w:rFonts w:ascii="Times New Roman" w:eastAsia="Times New Roman" w:hAnsi="Times New Roman" w:cs="Times New Roman"/>
          <w:b/>
          <w:sz w:val="24"/>
          <w:szCs w:val="24"/>
        </w:rPr>
      </w:pPr>
      <w:r w:rsidRPr="004B75DF">
        <w:rPr>
          <w:rFonts w:ascii="Times New Roman" w:eastAsia="Times New Roman" w:hAnsi="Times New Roman" w:cs="Times New Roman"/>
          <w:sz w:val="24"/>
          <w:szCs w:val="24"/>
        </w:rPr>
        <w:t>Diversamente, nei pazienti che hanno ricevuto una combinazione di chemio-immunoterapia in prima linea,</w:t>
      </w:r>
      <w:r>
        <w:rPr>
          <w:rFonts w:ascii="Times New Roman" w:eastAsia="Times New Roman" w:hAnsi="Times New Roman" w:cs="Times New Roman"/>
          <w:sz w:val="24"/>
          <w:szCs w:val="24"/>
        </w:rPr>
        <w:t xml:space="preserve"> </w:t>
      </w:r>
      <w:r w:rsidRPr="004B75DF">
        <w:rPr>
          <w:rFonts w:ascii="Times New Roman" w:eastAsia="Times New Roman" w:hAnsi="Times New Roman" w:cs="Times New Roman"/>
          <w:sz w:val="24"/>
          <w:szCs w:val="24"/>
        </w:rPr>
        <w:t>la scelta del trattamento di seconda linea ricade su chemioterapia con taxani (es. paclitaxel o docetaxel) o irinotecano, in base al profilo del paziente e alla tossicità attesa.</w:t>
      </w:r>
    </w:p>
    <w:p w14:paraId="78EA461A" w14:textId="77777777" w:rsidR="004B75DF" w:rsidRDefault="004B75DF" w:rsidP="00955A9B">
      <w:pPr>
        <w:spacing w:line="360" w:lineRule="auto"/>
        <w:ind w:left="120" w:right="40"/>
        <w:jc w:val="both"/>
        <w:rPr>
          <w:rFonts w:ascii="Times New Roman" w:eastAsia="Times New Roman" w:hAnsi="Times New Roman" w:cs="Times New Roman"/>
          <w:b/>
          <w:sz w:val="24"/>
          <w:szCs w:val="24"/>
        </w:rPr>
      </w:pPr>
    </w:p>
    <w:p w14:paraId="14FB74D5" w14:textId="17346BF0" w:rsidR="00955A9B" w:rsidRDefault="00836B7B" w:rsidP="00955A9B">
      <w:pPr>
        <w:spacing w:line="360" w:lineRule="auto"/>
        <w:ind w:left="120"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Tabella 16</w:t>
      </w:r>
      <w:r w:rsidR="00955A9B" w:rsidRPr="00955A9B">
        <w:rPr>
          <w:rFonts w:ascii="Times New Roman" w:eastAsia="Times New Roman" w:hAnsi="Times New Roman" w:cs="Times New Roman"/>
          <w:b/>
          <w:sz w:val="24"/>
          <w:szCs w:val="24"/>
        </w:rPr>
        <w:t>. Percorso terapeutico-assistenziale per pazienti con tumore esofageo metastatico (squamoso e adenocarcinoma)</w:t>
      </w:r>
    </w:p>
    <w:tbl>
      <w:tblPr>
        <w:tblStyle w:val="Grigliatabella"/>
        <w:tblW w:w="0" w:type="auto"/>
        <w:tblLook w:val="04A0" w:firstRow="1" w:lastRow="0" w:firstColumn="1" w:lastColumn="0" w:noHBand="0" w:noVBand="1"/>
      </w:tblPr>
      <w:tblGrid>
        <w:gridCol w:w="1980"/>
        <w:gridCol w:w="7648"/>
      </w:tblGrid>
      <w:tr w:rsidR="009779D9" w14:paraId="564E4F60" w14:textId="77777777" w:rsidTr="001040D4">
        <w:tc>
          <w:tcPr>
            <w:tcW w:w="1980" w:type="dxa"/>
          </w:tcPr>
          <w:p w14:paraId="77BE22FF" w14:textId="77777777" w:rsidR="009779D9" w:rsidRPr="002F08FA" w:rsidRDefault="009779D9" w:rsidP="001040D4">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Stadio</w:t>
            </w:r>
          </w:p>
        </w:tc>
        <w:tc>
          <w:tcPr>
            <w:tcW w:w="7648" w:type="dxa"/>
          </w:tcPr>
          <w:p w14:paraId="54518453" w14:textId="77777777" w:rsidR="009779D9" w:rsidRPr="002F08FA" w:rsidRDefault="009779D9" w:rsidP="001040D4">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Trattamento</w:t>
            </w:r>
          </w:p>
        </w:tc>
      </w:tr>
      <w:tr w:rsidR="009779D9" w14:paraId="10F5D32B" w14:textId="77777777" w:rsidTr="001040D4">
        <w:trPr>
          <w:trHeight w:val="3939"/>
        </w:trPr>
        <w:tc>
          <w:tcPr>
            <w:tcW w:w="1980" w:type="dxa"/>
          </w:tcPr>
          <w:p w14:paraId="1547ECF2" w14:textId="77777777" w:rsidR="009779D9" w:rsidRPr="002F08FA" w:rsidRDefault="009779D9" w:rsidP="001040D4">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Localmente</w:t>
            </w:r>
          </w:p>
          <w:p w14:paraId="0359B5F1" w14:textId="77777777" w:rsidR="009779D9" w:rsidRPr="002F08FA" w:rsidRDefault="009779D9" w:rsidP="001040D4">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avanzato,</w:t>
            </w:r>
          </w:p>
          <w:p w14:paraId="23A5909B" w14:textId="77777777" w:rsidR="009779D9" w:rsidRPr="002F08FA" w:rsidRDefault="009779D9" w:rsidP="001040D4">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potenzialmente</w:t>
            </w:r>
          </w:p>
          <w:p w14:paraId="21A94AAD" w14:textId="77777777" w:rsidR="009779D9" w:rsidRPr="002F08FA" w:rsidRDefault="009779D9" w:rsidP="001040D4">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resecabile</w:t>
            </w:r>
          </w:p>
        </w:tc>
        <w:tc>
          <w:tcPr>
            <w:tcW w:w="7648" w:type="dxa"/>
          </w:tcPr>
          <w:p w14:paraId="6B78F89C" w14:textId="0E8DBF4E" w:rsidR="009779D9" w:rsidRPr="009779D9" w:rsidRDefault="009779D9" w:rsidP="009779D9">
            <w:pPr>
              <w:pStyle w:val="Paragrafoelenco"/>
              <w:numPr>
                <w:ilvl w:val="0"/>
                <w:numId w:val="13"/>
              </w:numPr>
              <w:spacing w:line="276" w:lineRule="auto"/>
              <w:rPr>
                <w:rFonts w:ascii="Times New Roman" w:hAnsi="Times New Roman" w:cs="Times New Roman"/>
                <w:b/>
              </w:rPr>
            </w:pPr>
            <w:r w:rsidRPr="009779D9">
              <w:rPr>
                <w:rFonts w:ascii="Times New Roman" w:hAnsi="Times New Roman" w:cs="Times New Roman"/>
                <w:b/>
              </w:rPr>
              <w:t xml:space="preserve">Trattamento di conversione con polichemioterapia </w:t>
            </w:r>
            <w:r w:rsidR="002A0FBA">
              <w:rPr>
                <w:rFonts w:ascii="Times New Roman" w:hAnsi="Times New Roman" w:cs="Times New Roman"/>
                <w:b/>
              </w:rPr>
              <w:t>perio</w:t>
            </w:r>
            <w:r w:rsidR="002A0FBA" w:rsidRPr="009779D9">
              <w:rPr>
                <w:rFonts w:ascii="Times New Roman" w:hAnsi="Times New Roman" w:cs="Times New Roman"/>
                <w:b/>
              </w:rPr>
              <w:t>peratoria</w:t>
            </w:r>
            <w:r w:rsidR="002A0FBA">
              <w:rPr>
                <w:rFonts w:ascii="Times New Roman" w:hAnsi="Times New Roman" w:cs="Times New Roman"/>
                <w:b/>
              </w:rPr>
              <w:t xml:space="preserve"> </w:t>
            </w:r>
            <w:r w:rsidRPr="009779D9">
              <w:rPr>
                <w:rFonts w:ascii="Times New Roman" w:hAnsi="Times New Roman" w:cs="Times New Roman"/>
                <w:b/>
              </w:rPr>
              <w:t>secondo le linee guida (adenocarcinoma) o CRT (squamoso o casi selezionati adenocarcinoma)</w:t>
            </w:r>
          </w:p>
          <w:p w14:paraId="17FBF943" w14:textId="77777777" w:rsidR="009779D9" w:rsidRPr="009779D9" w:rsidRDefault="009779D9" w:rsidP="009779D9">
            <w:pPr>
              <w:pStyle w:val="Paragrafoelenco"/>
              <w:numPr>
                <w:ilvl w:val="0"/>
                <w:numId w:val="13"/>
              </w:numPr>
              <w:spacing w:line="276" w:lineRule="auto"/>
              <w:rPr>
                <w:rFonts w:ascii="Times New Roman" w:hAnsi="Times New Roman" w:cs="Times New Roman"/>
                <w:b/>
              </w:rPr>
            </w:pPr>
            <w:r w:rsidRPr="009779D9">
              <w:rPr>
                <w:rFonts w:ascii="Times New Roman" w:hAnsi="Times New Roman" w:cs="Times New Roman"/>
                <w:b/>
              </w:rPr>
              <w:t>Valutazione con ri-stadiazione dopo 4 cicli di trattamento,</w:t>
            </w:r>
          </w:p>
          <w:p w14:paraId="46B15B7A" w14:textId="70380348" w:rsidR="009779D9" w:rsidRPr="002F08FA" w:rsidRDefault="009779D9" w:rsidP="009779D9">
            <w:pPr>
              <w:pStyle w:val="Paragrafoelenco"/>
              <w:spacing w:line="276" w:lineRule="auto"/>
              <w:rPr>
                <w:rFonts w:ascii="Times New Roman" w:hAnsi="Times New Roman" w:cs="Times New Roman"/>
              </w:rPr>
            </w:pPr>
            <w:r w:rsidRPr="002F08FA">
              <w:rPr>
                <w:rFonts w:ascii="Times New Roman" w:eastAsia="Times New Roman" w:hAnsi="Times New Roman" w:cs="Times New Roman"/>
                <w:noProof/>
                <w:lang w:eastAsia="it-IT"/>
              </w:rPr>
              <mc:AlternateContent>
                <mc:Choice Requires="wps">
                  <w:drawing>
                    <wp:anchor distT="0" distB="0" distL="114300" distR="114300" simplePos="0" relativeHeight="251768832" behindDoc="0" locked="0" layoutInCell="1" allowOverlap="1" wp14:anchorId="4027A9C7" wp14:editId="120F2F2E">
                      <wp:simplePos x="0" y="0"/>
                      <wp:positionH relativeFrom="column">
                        <wp:posOffset>2302230</wp:posOffset>
                      </wp:positionH>
                      <wp:positionV relativeFrom="paragraph">
                        <wp:posOffset>219887</wp:posOffset>
                      </wp:positionV>
                      <wp:extent cx="475488" cy="248285"/>
                      <wp:effectExtent l="19050" t="19050" r="58420" b="56515"/>
                      <wp:wrapNone/>
                      <wp:docPr id="21"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488" cy="24828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F19FD" id="Connettore 2 21" o:spid="_x0000_s1026" type="#_x0000_t32" style="position:absolute;margin-left:181.3pt;margin-top:17.3pt;width:37.45pt;height:1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" strokecolor="#44546a [3215]" strokeweight="2.25pt">
                      <v:stroke endarrow="block" joinstyle="miter"/>
                      <o:lock v:ext="edit" shapetype="f"/>
                    </v:shape>
                  </w:pict>
                </mc:Fallback>
              </mc:AlternateContent>
            </w:r>
            <w:r w:rsidRPr="002F08FA">
              <w:rPr>
                <w:rFonts w:ascii="Times New Roman" w:eastAsia="Times New Roman" w:hAnsi="Times New Roman" w:cs="Times New Roman"/>
                <w:noProof/>
                <w:lang w:eastAsia="it-IT"/>
              </w:rPr>
              <mc:AlternateContent>
                <mc:Choice Requires="wps">
                  <w:drawing>
                    <wp:anchor distT="0" distB="0" distL="114300" distR="114300" simplePos="0" relativeHeight="251767808" behindDoc="0" locked="0" layoutInCell="1" allowOverlap="1" wp14:anchorId="09C17C88" wp14:editId="675FC32D">
                      <wp:simplePos x="0" y="0"/>
                      <wp:positionH relativeFrom="column">
                        <wp:posOffset>1842338</wp:posOffset>
                      </wp:positionH>
                      <wp:positionV relativeFrom="paragraph">
                        <wp:posOffset>219888</wp:posOffset>
                      </wp:positionV>
                      <wp:extent cx="459791" cy="248717"/>
                      <wp:effectExtent l="38100" t="19050" r="16510" b="56515"/>
                      <wp:wrapNone/>
                      <wp:docPr id="22"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9791" cy="248717"/>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4A295" id="Connettore 2 22" o:spid="_x0000_s1026" type="#_x0000_t32" style="position:absolute;margin-left:145.05pt;margin-top:17.3pt;width:36.2pt;height:19.6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" strokecolor="#44546a [3215]" strokeweight="2.25pt">
                      <v:stroke endarrow="block" joinstyle="miter"/>
                      <o:lock v:ext="edit" shapetype="f"/>
                    </v:shape>
                  </w:pict>
                </mc:Fallback>
              </mc:AlternateContent>
            </w:r>
            <w:r w:rsidRPr="009779D9">
              <w:rPr>
                <w:rFonts w:ascii="Times New Roman" w:hAnsi="Times New Roman" w:cs="Times New Roman"/>
                <w:b/>
              </w:rPr>
              <w:t>comprendente ecoendoscopia, TC total body con mdc e 18-FDG PET total body</w:t>
            </w:r>
          </w:p>
          <w:p w14:paraId="1D0F3223" w14:textId="77777777" w:rsidR="009779D9" w:rsidRPr="002F08FA" w:rsidRDefault="009779D9" w:rsidP="001040D4">
            <w:pPr>
              <w:spacing w:line="276" w:lineRule="auto"/>
              <w:rPr>
                <w:rFonts w:ascii="Times New Roman" w:hAnsi="Times New Roman" w:cs="Times New Roman"/>
              </w:rPr>
            </w:pPr>
          </w:p>
          <w:p w14:paraId="6B0321E2" w14:textId="384BCDB6" w:rsidR="009779D9" w:rsidRPr="002F08FA" w:rsidRDefault="009779D9" w:rsidP="001040D4">
            <w:pPr>
              <w:spacing w:line="276" w:lineRule="auto"/>
              <w:rPr>
                <w:rFonts w:ascii="Times New Roman" w:hAnsi="Times New Roman" w:cs="Times New Roman"/>
              </w:rPr>
            </w:pPr>
            <w:r w:rsidRPr="002F08FA">
              <w:rPr>
                <w:rFonts w:ascii="Times New Roman" w:hAnsi="Times New Roman" w:cs="Times New Roman"/>
              </w:rPr>
              <w:t xml:space="preserve">         </w:t>
            </w:r>
            <w:r>
              <w:rPr>
                <w:rFonts w:ascii="Times New Roman" w:hAnsi="Times New Roman" w:cs="Times New Roman"/>
              </w:rPr>
              <w:t>resecabile</w:t>
            </w:r>
            <w:r w:rsidRPr="002F08FA">
              <w:rPr>
                <w:rFonts w:ascii="Times New Roman" w:hAnsi="Times New Roman" w:cs="Times New Roman"/>
              </w:rPr>
              <w:t xml:space="preserve">: intervento chirurgico                   Non </w:t>
            </w:r>
            <w:r>
              <w:rPr>
                <w:rFonts w:ascii="Times New Roman" w:hAnsi="Times New Roman" w:cs="Times New Roman"/>
              </w:rPr>
              <w:t>resecabile</w:t>
            </w:r>
            <w:r w:rsidRPr="002F08FA">
              <w:rPr>
                <w:rFonts w:ascii="Times New Roman" w:hAnsi="Times New Roman" w:cs="Times New Roman"/>
              </w:rPr>
              <w:t>: prosegue</w:t>
            </w:r>
          </w:p>
          <w:p w14:paraId="7237CBA4" w14:textId="77777777" w:rsidR="009779D9" w:rsidRDefault="009779D9" w:rsidP="001040D4">
            <w:pPr>
              <w:spacing w:line="276" w:lineRule="auto"/>
              <w:rPr>
                <w:rFonts w:ascii="Times New Roman" w:hAnsi="Times New Roman" w:cs="Times New Roman"/>
              </w:rPr>
            </w:pPr>
            <w:r w:rsidRPr="002F08FA">
              <w:rPr>
                <w:rFonts w:ascii="Times New Roman" w:hAnsi="Times New Roman" w:cs="Times New Roman"/>
              </w:rPr>
              <w:t xml:space="preserve">         Trattamento chemioterapico</w:t>
            </w:r>
          </w:p>
          <w:p w14:paraId="631A392B" w14:textId="3C91D724" w:rsidR="009779D9" w:rsidRPr="009779D9" w:rsidRDefault="009779D9" w:rsidP="009779D9">
            <w:pPr>
              <w:pStyle w:val="Paragrafoelenco"/>
              <w:numPr>
                <w:ilvl w:val="0"/>
                <w:numId w:val="14"/>
              </w:numPr>
              <w:spacing w:line="276" w:lineRule="auto"/>
              <w:rPr>
                <w:rFonts w:ascii="Times New Roman" w:hAnsi="Times New Roman" w:cs="Times New Roman"/>
                <w:b/>
              </w:rPr>
            </w:pPr>
            <w:r w:rsidRPr="009779D9">
              <w:rPr>
                <w:rFonts w:ascii="Times New Roman" w:hAnsi="Times New Roman" w:cs="Times New Roman"/>
                <w:b/>
              </w:rPr>
              <w:t>Rivalutazione strumentale dopo ulteriori 4 cicli in caso di malattia</w:t>
            </w:r>
          </w:p>
          <w:p w14:paraId="5E539FC8" w14:textId="21C54417" w:rsidR="009779D9" w:rsidRPr="002F08FA" w:rsidRDefault="009779D9" w:rsidP="009779D9">
            <w:pPr>
              <w:numPr>
                <w:ilvl w:val="0"/>
                <w:numId w:val="14"/>
              </w:numPr>
              <w:spacing w:line="276" w:lineRule="auto"/>
              <w:rPr>
                <w:rFonts w:ascii="Times New Roman" w:hAnsi="Times New Roman" w:cs="Times New Roman"/>
              </w:rPr>
            </w:pPr>
            <w:r w:rsidRPr="002F08FA">
              <w:rPr>
                <w:rFonts w:ascii="Times New Roman" w:eastAsia="Times New Roman" w:hAnsi="Times New Roman" w:cs="Times New Roman"/>
                <w:noProof/>
                <w:lang w:eastAsia="it-IT"/>
              </w:rPr>
              <mc:AlternateContent>
                <mc:Choice Requires="wps">
                  <w:drawing>
                    <wp:anchor distT="0" distB="0" distL="114300" distR="114300" simplePos="0" relativeHeight="251772928" behindDoc="0" locked="0" layoutInCell="1" allowOverlap="1" wp14:anchorId="634F7AFD" wp14:editId="3938D258">
                      <wp:simplePos x="0" y="0"/>
                      <wp:positionH relativeFrom="column">
                        <wp:posOffset>2522855</wp:posOffset>
                      </wp:positionH>
                      <wp:positionV relativeFrom="paragraph">
                        <wp:posOffset>122300</wp:posOffset>
                      </wp:positionV>
                      <wp:extent cx="424282" cy="248285"/>
                      <wp:effectExtent l="19050" t="19050" r="71120" b="56515"/>
                      <wp:wrapNone/>
                      <wp:docPr id="42" name="Connettore 2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282" cy="24828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2579D6" id="Connettore 2 42" o:spid="_x0000_s1026" type="#_x0000_t32" style="position:absolute;margin-left:198.65pt;margin-top:9.65pt;width:33.4pt;height:1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" strokecolor="#44546a [3215]" strokeweight="2.25pt">
                      <v:stroke endarrow="block" joinstyle="miter"/>
                      <o:lock v:ext="edit" shapetype="f"/>
                    </v:shape>
                  </w:pict>
                </mc:Fallback>
              </mc:AlternateContent>
            </w:r>
            <w:r w:rsidRPr="002F08FA">
              <w:rPr>
                <w:rFonts w:ascii="Times New Roman" w:eastAsia="Times New Roman" w:hAnsi="Times New Roman" w:cs="Times New Roman"/>
                <w:noProof/>
                <w:lang w:eastAsia="it-IT"/>
              </w:rPr>
              <mc:AlternateContent>
                <mc:Choice Requires="wps">
                  <w:drawing>
                    <wp:anchor distT="0" distB="0" distL="114300" distR="114300" simplePos="0" relativeHeight="251770880" behindDoc="0" locked="0" layoutInCell="1" allowOverlap="1" wp14:anchorId="558CA162" wp14:editId="4D317890">
                      <wp:simplePos x="0" y="0"/>
                      <wp:positionH relativeFrom="column">
                        <wp:posOffset>2020443</wp:posOffset>
                      </wp:positionH>
                      <wp:positionV relativeFrom="paragraph">
                        <wp:posOffset>118745</wp:posOffset>
                      </wp:positionV>
                      <wp:extent cx="459791" cy="248717"/>
                      <wp:effectExtent l="38100" t="19050" r="16510" b="56515"/>
                      <wp:wrapNone/>
                      <wp:docPr id="41" name="Connettore 2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9791" cy="248717"/>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935C1" id="Connettore 2 41" o:spid="_x0000_s1026" type="#_x0000_t32" style="position:absolute;margin-left:159.1pt;margin-top:9.35pt;width:36.2pt;height:19.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" strokecolor="#44546a [3215]" strokeweight="2.25pt">
                      <v:stroke endarrow="block" joinstyle="miter"/>
                      <o:lock v:ext="edit" shapetype="f"/>
                    </v:shape>
                  </w:pict>
                </mc:Fallback>
              </mc:AlternateContent>
            </w:r>
            <w:r w:rsidRPr="009779D9">
              <w:rPr>
                <w:rFonts w:ascii="Times New Roman" w:hAnsi="Times New Roman" w:cs="Times New Roman"/>
                <w:b/>
              </w:rPr>
              <w:t xml:space="preserve">non operabile </w:t>
            </w:r>
            <w:r w:rsidRPr="002F08FA">
              <w:rPr>
                <w:rFonts w:ascii="Times New Roman" w:hAnsi="Times New Roman" w:cs="Times New Roman"/>
              </w:rPr>
              <w:t>(vedi sopra)</w:t>
            </w:r>
            <w:r w:rsidRPr="002F08FA">
              <w:rPr>
                <w:rFonts w:ascii="Times New Roman" w:eastAsia="Times New Roman" w:hAnsi="Times New Roman" w:cs="Times New Roman"/>
                <w:noProof/>
                <w:lang w:eastAsia="it-IT"/>
              </w:rPr>
              <w:t xml:space="preserve"> </w:t>
            </w:r>
          </w:p>
          <w:p w14:paraId="4925AD66" w14:textId="0C09E4F1" w:rsidR="009779D9" w:rsidRPr="002F08FA" w:rsidRDefault="009779D9" w:rsidP="001040D4">
            <w:pPr>
              <w:spacing w:line="276" w:lineRule="auto"/>
              <w:rPr>
                <w:rFonts w:ascii="Times New Roman" w:hAnsi="Times New Roman" w:cs="Times New Roman"/>
              </w:rPr>
            </w:pPr>
          </w:p>
          <w:p w14:paraId="4579F18E" w14:textId="4F2DD5BA" w:rsidR="009779D9" w:rsidRPr="002F08FA" w:rsidRDefault="009779D9" w:rsidP="001040D4">
            <w:pPr>
              <w:spacing w:line="276" w:lineRule="auto"/>
              <w:rPr>
                <w:rFonts w:ascii="Times New Roman" w:hAnsi="Times New Roman" w:cs="Times New Roman"/>
              </w:rPr>
            </w:pPr>
            <w:r w:rsidRPr="002F08FA">
              <w:rPr>
                <w:rFonts w:ascii="Times New Roman" w:hAnsi="Times New Roman" w:cs="Times New Roman"/>
              </w:rPr>
              <w:t xml:space="preserve">        </w:t>
            </w:r>
            <w:r>
              <w:rPr>
                <w:rFonts w:ascii="Times New Roman" w:hAnsi="Times New Roman" w:cs="Times New Roman"/>
              </w:rPr>
              <w:t>Resecabile</w:t>
            </w:r>
            <w:r w:rsidRPr="002F08FA">
              <w:rPr>
                <w:rFonts w:ascii="Times New Roman" w:hAnsi="Times New Roman" w:cs="Times New Roman"/>
              </w:rPr>
              <w:t xml:space="preserve">: intervento chirurgico                   Non </w:t>
            </w:r>
            <w:r>
              <w:rPr>
                <w:rFonts w:ascii="Times New Roman" w:hAnsi="Times New Roman" w:cs="Times New Roman"/>
              </w:rPr>
              <w:t>resecabile</w:t>
            </w:r>
            <w:r w:rsidRPr="002F08FA">
              <w:rPr>
                <w:rFonts w:ascii="Times New Roman" w:hAnsi="Times New Roman" w:cs="Times New Roman"/>
              </w:rPr>
              <w:t>: prosegue</w:t>
            </w:r>
          </w:p>
          <w:p w14:paraId="7234A3B5" w14:textId="77777777" w:rsidR="009779D9" w:rsidRPr="002F08FA" w:rsidRDefault="009779D9" w:rsidP="001040D4">
            <w:pPr>
              <w:spacing w:line="276" w:lineRule="auto"/>
              <w:rPr>
                <w:rFonts w:ascii="Times New Roman" w:hAnsi="Times New Roman" w:cs="Times New Roman"/>
              </w:rPr>
            </w:pPr>
            <w:r w:rsidRPr="002F08FA">
              <w:rPr>
                <w:rFonts w:ascii="Times New Roman" w:hAnsi="Times New Roman" w:cs="Times New Roman"/>
              </w:rPr>
              <w:t xml:space="preserve">         Trattamento chemioterapico</w:t>
            </w:r>
          </w:p>
          <w:p w14:paraId="68794FC3" w14:textId="77777777" w:rsidR="009779D9" w:rsidRPr="002F08FA" w:rsidRDefault="009779D9" w:rsidP="001040D4">
            <w:pPr>
              <w:spacing w:line="276" w:lineRule="auto"/>
              <w:ind w:left="360"/>
              <w:rPr>
                <w:rFonts w:ascii="Times New Roman" w:hAnsi="Times New Roman" w:cs="Times New Roman"/>
              </w:rPr>
            </w:pPr>
          </w:p>
        </w:tc>
      </w:tr>
      <w:tr w:rsidR="009779D9" w14:paraId="157C6C80" w14:textId="77777777" w:rsidTr="001040D4">
        <w:trPr>
          <w:trHeight w:val="1532"/>
        </w:trPr>
        <w:tc>
          <w:tcPr>
            <w:tcW w:w="1980" w:type="dxa"/>
          </w:tcPr>
          <w:p w14:paraId="41B2DE9B" w14:textId="77777777" w:rsidR="009779D9" w:rsidRPr="002F08FA" w:rsidRDefault="009779D9" w:rsidP="001040D4">
            <w:pPr>
              <w:spacing w:line="276" w:lineRule="auto"/>
              <w:rPr>
                <w:rFonts w:ascii="Times New Roman" w:eastAsia="Times New Roman" w:hAnsi="Times New Roman" w:cs="Times New Roman"/>
                <w:b/>
              </w:rPr>
            </w:pPr>
            <w:r w:rsidRPr="002F08FA">
              <w:rPr>
                <w:rFonts w:ascii="Times New Roman" w:eastAsia="Times New Roman" w:hAnsi="Times New Roman" w:cs="Times New Roman"/>
                <w:b/>
              </w:rPr>
              <w:t>Localmente avanzato, non resecabile</w:t>
            </w:r>
          </w:p>
        </w:tc>
        <w:tc>
          <w:tcPr>
            <w:tcW w:w="7648" w:type="dxa"/>
          </w:tcPr>
          <w:p w14:paraId="0612ACD0" w14:textId="77777777" w:rsidR="009779D9" w:rsidRPr="002F08FA" w:rsidRDefault="009779D9" w:rsidP="001040D4">
            <w:pPr>
              <w:spacing w:line="276" w:lineRule="auto"/>
              <w:rPr>
                <w:rFonts w:ascii="Times New Roman" w:hAnsi="Times New Roman" w:cs="Times New Roman"/>
                <w:b/>
              </w:rPr>
            </w:pPr>
            <w:r w:rsidRPr="002F08FA">
              <w:rPr>
                <w:rFonts w:ascii="Times New Roman" w:hAnsi="Times New Roman" w:cs="Times New Roman"/>
                <w:b/>
              </w:rPr>
              <w:t>Vedi malattia metastatica</w:t>
            </w:r>
          </w:p>
        </w:tc>
      </w:tr>
      <w:tr w:rsidR="009779D9" w14:paraId="656D5067" w14:textId="77777777" w:rsidTr="001040D4">
        <w:trPr>
          <w:trHeight w:val="1532"/>
        </w:trPr>
        <w:tc>
          <w:tcPr>
            <w:tcW w:w="1980" w:type="dxa"/>
          </w:tcPr>
          <w:p w14:paraId="615B222C" w14:textId="6EF0C71C" w:rsidR="009779D9" w:rsidRPr="002F08FA" w:rsidRDefault="002A0FBA" w:rsidP="001040D4">
            <w:pPr>
              <w:spacing w:line="276" w:lineRule="auto"/>
              <w:rPr>
                <w:rFonts w:ascii="Times New Roman" w:eastAsia="Times New Roman" w:hAnsi="Times New Roman" w:cs="Times New Roman"/>
                <w:b/>
              </w:rPr>
            </w:pPr>
            <w:r>
              <w:rPr>
                <w:rFonts w:ascii="Times New Roman" w:eastAsia="Times New Roman" w:hAnsi="Times New Roman" w:cs="Times New Roman"/>
                <w:b/>
              </w:rPr>
              <w:t>Malattia metastatica (IV stadio)</w:t>
            </w:r>
          </w:p>
        </w:tc>
        <w:tc>
          <w:tcPr>
            <w:tcW w:w="7648" w:type="dxa"/>
          </w:tcPr>
          <w:p w14:paraId="63D560BF" w14:textId="7FF1999B" w:rsidR="001A0F98" w:rsidRDefault="001A0F98" w:rsidP="009779D9">
            <w:pPr>
              <w:spacing w:line="276" w:lineRule="auto"/>
              <w:rPr>
                <w:rFonts w:ascii="Times New Roman" w:hAnsi="Times New Roman" w:cs="Times New Roman"/>
              </w:rPr>
            </w:pPr>
            <w:r w:rsidRPr="00082046">
              <w:rPr>
                <w:rFonts w:ascii="Times New Roman" w:hAnsi="Times New Roman" w:cs="Times New Roman"/>
                <w:b/>
                <w:bCs/>
                <w:u w:val="single"/>
              </w:rPr>
              <w:t>Istologia Squamosa</w:t>
            </w:r>
            <w:r>
              <w:rPr>
                <w:rFonts w:ascii="Times New Roman" w:hAnsi="Times New Roman" w:cs="Times New Roman"/>
              </w:rPr>
              <w:t>: v</w:t>
            </w:r>
            <w:r w:rsidRPr="009779D9">
              <w:rPr>
                <w:rFonts w:ascii="Times New Roman" w:hAnsi="Times New Roman" w:cs="Times New Roman"/>
              </w:rPr>
              <w:t xml:space="preserve">alutazione stato di </w:t>
            </w:r>
            <w:r>
              <w:rPr>
                <w:rFonts w:ascii="Times New Roman" w:hAnsi="Times New Roman" w:cs="Times New Roman"/>
              </w:rPr>
              <w:t xml:space="preserve">PD-L1 CPS </w:t>
            </w:r>
            <w:r w:rsidR="002A0FBA">
              <w:rPr>
                <w:rFonts w:ascii="Times New Roman" w:hAnsi="Times New Roman" w:cs="Times New Roman"/>
              </w:rPr>
              <w:t xml:space="preserve">e TPS </w:t>
            </w:r>
            <w:r>
              <w:rPr>
                <w:rFonts w:ascii="Times New Roman" w:hAnsi="Times New Roman" w:cs="Times New Roman"/>
              </w:rPr>
              <w:t xml:space="preserve">(indispensabile). </w:t>
            </w:r>
          </w:p>
          <w:p w14:paraId="5BD15829" w14:textId="26136AB8" w:rsidR="009779D9" w:rsidRDefault="009779D9" w:rsidP="009779D9">
            <w:pPr>
              <w:spacing w:line="276" w:lineRule="auto"/>
              <w:rPr>
                <w:rFonts w:ascii="Times New Roman" w:hAnsi="Times New Roman" w:cs="Times New Roman"/>
              </w:rPr>
            </w:pPr>
            <w:r w:rsidRPr="009779D9">
              <w:rPr>
                <w:rFonts w:ascii="Times New Roman" w:hAnsi="Times New Roman" w:cs="Times New Roman"/>
              </w:rPr>
              <w:t>Chemio</w:t>
            </w:r>
            <w:r w:rsidR="00DA04DE">
              <w:rPr>
                <w:rFonts w:ascii="Times New Roman" w:hAnsi="Times New Roman" w:cs="Times New Roman"/>
              </w:rPr>
              <w:t xml:space="preserve">-immunoterapia </w:t>
            </w:r>
            <w:r w:rsidRPr="009779D9">
              <w:rPr>
                <w:rFonts w:ascii="Times New Roman" w:hAnsi="Times New Roman" w:cs="Times New Roman"/>
              </w:rPr>
              <w:t xml:space="preserve">terapia di I linea </w:t>
            </w:r>
            <w:r w:rsidR="001A0F98">
              <w:rPr>
                <w:rFonts w:ascii="Times New Roman" w:hAnsi="Times New Roman" w:cs="Times New Roman"/>
              </w:rPr>
              <w:t>a base di</w:t>
            </w:r>
            <w:r w:rsidR="00DA04DE">
              <w:rPr>
                <w:rFonts w:ascii="Times New Roman" w:hAnsi="Times New Roman" w:cs="Times New Roman"/>
              </w:rPr>
              <w:t xml:space="preserve"> platino-fluorouracile + Pembrolizumab nei pazienti con PDL1 CPS </w:t>
            </w:r>
            <w:r w:rsidR="00DA04DE" w:rsidRPr="00DA04DE">
              <w:rPr>
                <w:rFonts w:ascii="Times New Roman" w:hAnsi="Times New Roman" w:cs="Times New Roman"/>
                <w:u w:val="single"/>
              </w:rPr>
              <w:t>&gt;</w:t>
            </w:r>
            <w:r w:rsidR="00DA04DE">
              <w:rPr>
                <w:rFonts w:ascii="Times New Roman" w:hAnsi="Times New Roman" w:cs="Times New Roman"/>
              </w:rPr>
              <w:t xml:space="preserve"> 10 </w:t>
            </w:r>
            <w:r w:rsidRPr="009779D9">
              <w:rPr>
                <w:rFonts w:ascii="Times New Roman" w:hAnsi="Times New Roman" w:cs="Times New Roman"/>
              </w:rPr>
              <w:t>(</w:t>
            </w:r>
            <w:r w:rsidR="00DA04DE">
              <w:rPr>
                <w:rFonts w:ascii="Times New Roman" w:hAnsi="Times New Roman" w:cs="Times New Roman"/>
              </w:rPr>
              <w:t xml:space="preserve">valutare </w:t>
            </w:r>
            <w:r w:rsidRPr="009779D9">
              <w:rPr>
                <w:rFonts w:ascii="Times New Roman" w:hAnsi="Times New Roman" w:cs="Times New Roman"/>
              </w:rPr>
              <w:t>eventuale RT palliativa o di consolidamento)</w:t>
            </w:r>
            <w:r w:rsidR="00DA04DE">
              <w:rPr>
                <w:rFonts w:ascii="Times New Roman" w:hAnsi="Times New Roman" w:cs="Times New Roman"/>
              </w:rPr>
              <w:t>.</w:t>
            </w:r>
          </w:p>
          <w:p w14:paraId="2C853C8D" w14:textId="1BB36D59" w:rsidR="002A0FBA" w:rsidRDefault="002A0FBA" w:rsidP="009779D9">
            <w:pPr>
              <w:spacing w:line="276" w:lineRule="auto"/>
              <w:rPr>
                <w:rFonts w:ascii="Times New Roman" w:hAnsi="Times New Roman" w:cs="Times New Roman"/>
              </w:rPr>
            </w:pPr>
            <w:r w:rsidRPr="002A0FBA">
              <w:rPr>
                <w:rFonts w:ascii="Times New Roman" w:hAnsi="Times New Roman" w:cs="Times New Roman"/>
              </w:rPr>
              <w:t xml:space="preserve">Chemio-immunoterapia terapia di I linea a base di platino-fluorouracile + </w:t>
            </w:r>
            <w:r>
              <w:rPr>
                <w:rFonts w:ascii="Times New Roman" w:hAnsi="Times New Roman" w:cs="Times New Roman"/>
              </w:rPr>
              <w:t>Nivolumab</w:t>
            </w:r>
            <w:r w:rsidRPr="002A0FBA">
              <w:rPr>
                <w:rFonts w:ascii="Times New Roman" w:hAnsi="Times New Roman" w:cs="Times New Roman"/>
              </w:rPr>
              <w:t xml:space="preserve"> nei pazienti con PDL1 </w:t>
            </w:r>
            <w:r>
              <w:rPr>
                <w:rFonts w:ascii="Times New Roman" w:hAnsi="Times New Roman" w:cs="Times New Roman"/>
              </w:rPr>
              <w:t>TPS</w:t>
            </w:r>
            <w:r w:rsidRPr="002A0FBA">
              <w:rPr>
                <w:rFonts w:ascii="Times New Roman" w:hAnsi="Times New Roman" w:cs="Times New Roman"/>
              </w:rPr>
              <w:t xml:space="preserve"> &gt; 1</w:t>
            </w:r>
            <w:r>
              <w:rPr>
                <w:rFonts w:ascii="Times New Roman" w:hAnsi="Times New Roman" w:cs="Times New Roman"/>
              </w:rPr>
              <w:t>%</w:t>
            </w:r>
            <w:r w:rsidRPr="002A0FBA">
              <w:rPr>
                <w:rFonts w:ascii="Times New Roman" w:hAnsi="Times New Roman" w:cs="Times New Roman"/>
              </w:rPr>
              <w:t xml:space="preserve"> (valutare eventuale RT palliativa o di consolidamento).</w:t>
            </w:r>
          </w:p>
          <w:p w14:paraId="228E2CE7" w14:textId="27799B37" w:rsidR="001A0F98" w:rsidRDefault="001A0F98" w:rsidP="009779D9">
            <w:pPr>
              <w:spacing w:line="276" w:lineRule="auto"/>
              <w:rPr>
                <w:rFonts w:ascii="Times New Roman" w:hAnsi="Times New Roman" w:cs="Times New Roman"/>
              </w:rPr>
            </w:pPr>
            <w:r>
              <w:rPr>
                <w:rFonts w:ascii="Times New Roman" w:hAnsi="Times New Roman" w:cs="Times New Roman"/>
              </w:rPr>
              <w:t>Nei pazienti con PDL1 &lt; 10 considerare la sola chemioterapia a base di platino-fluorouracile.</w:t>
            </w:r>
          </w:p>
          <w:p w14:paraId="5854B7BF" w14:textId="77777777" w:rsidR="002A0FBA" w:rsidRPr="009779D9" w:rsidRDefault="002A0FBA" w:rsidP="009779D9">
            <w:pPr>
              <w:spacing w:line="276" w:lineRule="auto"/>
              <w:rPr>
                <w:rFonts w:ascii="Times New Roman" w:hAnsi="Times New Roman" w:cs="Times New Roman"/>
              </w:rPr>
            </w:pPr>
          </w:p>
          <w:p w14:paraId="107837B4" w14:textId="56257B81" w:rsidR="009779D9" w:rsidRDefault="001A0F98" w:rsidP="009779D9">
            <w:pPr>
              <w:spacing w:line="276" w:lineRule="auto"/>
              <w:rPr>
                <w:rFonts w:ascii="Times New Roman" w:hAnsi="Times New Roman" w:cs="Times New Roman"/>
              </w:rPr>
            </w:pPr>
            <w:r w:rsidRPr="00082046">
              <w:rPr>
                <w:rFonts w:ascii="Times New Roman" w:hAnsi="Times New Roman" w:cs="Times New Roman"/>
                <w:b/>
                <w:bCs/>
                <w:u w:val="single"/>
              </w:rPr>
              <w:t>Istologia adenocarcinoma</w:t>
            </w:r>
            <w:r>
              <w:rPr>
                <w:rFonts w:ascii="Times New Roman" w:hAnsi="Times New Roman" w:cs="Times New Roman"/>
              </w:rPr>
              <w:t xml:space="preserve"> (esofago e giunzione esofago-gastrica): </w:t>
            </w:r>
            <w:r w:rsidR="00DA04DE">
              <w:rPr>
                <w:rFonts w:ascii="Times New Roman" w:hAnsi="Times New Roman" w:cs="Times New Roman"/>
              </w:rPr>
              <w:t>v</w:t>
            </w:r>
            <w:r w:rsidR="009779D9" w:rsidRPr="009779D9">
              <w:rPr>
                <w:rFonts w:ascii="Times New Roman" w:hAnsi="Times New Roman" w:cs="Times New Roman"/>
              </w:rPr>
              <w:t xml:space="preserve">alutazione stato di </w:t>
            </w:r>
            <w:r>
              <w:rPr>
                <w:rFonts w:ascii="Times New Roman" w:hAnsi="Times New Roman" w:cs="Times New Roman"/>
              </w:rPr>
              <w:t xml:space="preserve">PD-L1 CPS  ed </w:t>
            </w:r>
            <w:r w:rsidR="009779D9" w:rsidRPr="009779D9">
              <w:rPr>
                <w:rFonts w:ascii="Times New Roman" w:hAnsi="Times New Roman" w:cs="Times New Roman"/>
              </w:rPr>
              <w:t xml:space="preserve">HER2 </w:t>
            </w:r>
            <w:r w:rsidR="00DA04DE">
              <w:rPr>
                <w:rFonts w:ascii="Times New Roman" w:hAnsi="Times New Roman" w:cs="Times New Roman"/>
              </w:rPr>
              <w:t>(indispensabile).</w:t>
            </w:r>
            <w:r w:rsidR="00B17C14">
              <w:rPr>
                <w:rFonts w:ascii="Times New Roman" w:hAnsi="Times New Roman" w:cs="Times New Roman"/>
              </w:rPr>
              <w:t xml:space="preserve"> Valutazione MSI status nei Siewert III (indispensabile).</w:t>
            </w:r>
          </w:p>
          <w:p w14:paraId="36D3C061" w14:textId="77777777" w:rsidR="002A0FBA" w:rsidRDefault="002A0FBA" w:rsidP="002A0FBA">
            <w:pPr>
              <w:spacing w:line="276" w:lineRule="auto"/>
              <w:rPr>
                <w:rFonts w:ascii="Times New Roman" w:hAnsi="Times New Roman" w:cs="Times New Roman"/>
              </w:rPr>
            </w:pPr>
            <w:r>
              <w:rPr>
                <w:rFonts w:ascii="Times New Roman" w:hAnsi="Times New Roman" w:cs="Times New Roman"/>
              </w:rPr>
              <w:t>Chemioterapia di I linea con platino-fluorouracile + Trastuzumab nei pazienti Her2 positivi (</w:t>
            </w:r>
            <w:r w:rsidRPr="001A0F98">
              <w:rPr>
                <w:rFonts w:ascii="Times New Roman" w:hAnsi="Times New Roman" w:cs="Times New Roman"/>
                <w:u w:val="single"/>
              </w:rPr>
              <w:t>sede: esofago e giunzione Siewert 1</w:t>
            </w:r>
            <w:r>
              <w:rPr>
                <w:rFonts w:ascii="Times New Roman" w:hAnsi="Times New Roman" w:cs="Times New Roman"/>
              </w:rPr>
              <w:t>).</w:t>
            </w:r>
          </w:p>
          <w:p w14:paraId="04F578D9" w14:textId="33FC27BE" w:rsidR="002A0FBA" w:rsidRDefault="002A0FBA" w:rsidP="009779D9">
            <w:pPr>
              <w:spacing w:line="276" w:lineRule="auto"/>
              <w:rPr>
                <w:rFonts w:ascii="Times New Roman" w:hAnsi="Times New Roman" w:cs="Times New Roman"/>
              </w:rPr>
            </w:pPr>
            <w:r>
              <w:rPr>
                <w:rFonts w:ascii="Times New Roman" w:hAnsi="Times New Roman" w:cs="Times New Roman"/>
              </w:rPr>
              <w:t xml:space="preserve">Chemio-immunoterapia di I linea con platino-fluorouracile + Trastuzumab + Pembrolizumab nei pazienti Her2 positivi e PDL1 CPS </w:t>
            </w:r>
            <w:r w:rsidRPr="00DA04DE">
              <w:rPr>
                <w:rFonts w:ascii="Times New Roman" w:hAnsi="Times New Roman" w:cs="Times New Roman"/>
                <w:u w:val="single"/>
              </w:rPr>
              <w:t>&gt;</w:t>
            </w:r>
            <w:r>
              <w:rPr>
                <w:rFonts w:ascii="Times New Roman" w:hAnsi="Times New Roman" w:cs="Times New Roman"/>
              </w:rPr>
              <w:t xml:space="preserve"> 1 (</w:t>
            </w:r>
            <w:r w:rsidRPr="001A0F98">
              <w:rPr>
                <w:rFonts w:ascii="Times New Roman" w:hAnsi="Times New Roman" w:cs="Times New Roman"/>
                <w:u w:val="single"/>
              </w:rPr>
              <w:t>sede: esofago e giunzione Siewert 1</w:t>
            </w:r>
            <w:r>
              <w:rPr>
                <w:rFonts w:ascii="Times New Roman" w:hAnsi="Times New Roman" w:cs="Times New Roman"/>
              </w:rPr>
              <w:t>).</w:t>
            </w:r>
          </w:p>
          <w:p w14:paraId="4E366676" w14:textId="50E9E86A" w:rsidR="00DA04DE" w:rsidRDefault="00DA04DE" w:rsidP="009779D9">
            <w:pPr>
              <w:spacing w:line="276" w:lineRule="auto"/>
              <w:rPr>
                <w:rFonts w:ascii="Times New Roman" w:hAnsi="Times New Roman" w:cs="Times New Roman"/>
              </w:rPr>
            </w:pPr>
            <w:r>
              <w:rPr>
                <w:rFonts w:ascii="Times New Roman" w:hAnsi="Times New Roman" w:cs="Times New Roman"/>
              </w:rPr>
              <w:t xml:space="preserve">Chemio-immunoterapia di I linea con platino-fluorouracile + Pembrolizumab nei pazienti PDL1 CPS </w:t>
            </w:r>
            <w:r w:rsidRPr="00DA04DE">
              <w:rPr>
                <w:rFonts w:ascii="Times New Roman" w:hAnsi="Times New Roman" w:cs="Times New Roman"/>
                <w:u w:val="single"/>
              </w:rPr>
              <w:t>&gt;</w:t>
            </w:r>
            <w:r>
              <w:rPr>
                <w:rFonts w:ascii="Times New Roman" w:hAnsi="Times New Roman" w:cs="Times New Roman"/>
              </w:rPr>
              <w:t xml:space="preserve"> 10 ed HER2 negativi</w:t>
            </w:r>
            <w:r w:rsidR="001A0F98">
              <w:rPr>
                <w:rFonts w:ascii="Times New Roman" w:hAnsi="Times New Roman" w:cs="Times New Roman"/>
              </w:rPr>
              <w:t xml:space="preserve"> (</w:t>
            </w:r>
            <w:r w:rsidR="001A0F98" w:rsidRPr="001A0F98">
              <w:rPr>
                <w:rFonts w:ascii="Times New Roman" w:hAnsi="Times New Roman" w:cs="Times New Roman"/>
                <w:u w:val="single"/>
              </w:rPr>
              <w:t>sede: esofago e giunzione Siewert 1</w:t>
            </w:r>
            <w:r w:rsidR="001A0F98">
              <w:rPr>
                <w:rFonts w:ascii="Times New Roman" w:hAnsi="Times New Roman" w:cs="Times New Roman"/>
              </w:rPr>
              <w:t>)</w:t>
            </w:r>
            <w:r>
              <w:rPr>
                <w:rFonts w:ascii="Times New Roman" w:hAnsi="Times New Roman" w:cs="Times New Roman"/>
              </w:rPr>
              <w:t>.</w:t>
            </w:r>
          </w:p>
          <w:p w14:paraId="0B473AA4" w14:textId="229B72CD" w:rsidR="001A0F98" w:rsidRDefault="001A0F98" w:rsidP="009779D9">
            <w:pPr>
              <w:spacing w:line="276" w:lineRule="auto"/>
              <w:rPr>
                <w:rFonts w:ascii="Times New Roman" w:hAnsi="Times New Roman" w:cs="Times New Roman"/>
              </w:rPr>
            </w:pPr>
            <w:r w:rsidRPr="00E95B89">
              <w:rPr>
                <w:rFonts w:ascii="Times New Roman" w:hAnsi="Times New Roman" w:cs="Times New Roman"/>
                <w:i/>
                <w:iCs/>
              </w:rPr>
              <w:t>In alternativa</w:t>
            </w:r>
            <w:r>
              <w:rPr>
                <w:rFonts w:ascii="Times New Roman" w:hAnsi="Times New Roman" w:cs="Times New Roman"/>
              </w:rPr>
              <w:t>:</w:t>
            </w:r>
          </w:p>
          <w:p w14:paraId="2F83C8B2" w14:textId="4117969B" w:rsidR="00DA04DE" w:rsidRPr="00DA04DE" w:rsidRDefault="00DA04DE" w:rsidP="009779D9">
            <w:pPr>
              <w:spacing w:line="276" w:lineRule="auto"/>
              <w:rPr>
                <w:rFonts w:ascii="Times New Roman" w:hAnsi="Times New Roman" w:cs="Times New Roman"/>
              </w:rPr>
            </w:pPr>
            <w:r>
              <w:rPr>
                <w:rFonts w:ascii="Times New Roman" w:hAnsi="Times New Roman" w:cs="Times New Roman"/>
              </w:rPr>
              <w:t xml:space="preserve">Chemio-immunoterapia di I linea con FOLFOX / CAPOX + Nivolumab </w:t>
            </w:r>
            <w:r w:rsidR="001A0F98">
              <w:rPr>
                <w:rFonts w:ascii="Times New Roman" w:hAnsi="Times New Roman" w:cs="Times New Roman"/>
              </w:rPr>
              <w:t>pazienti</w:t>
            </w:r>
            <w:r>
              <w:rPr>
                <w:rFonts w:ascii="Times New Roman" w:hAnsi="Times New Roman" w:cs="Times New Roman"/>
              </w:rPr>
              <w:t xml:space="preserve"> PDL1 CPS </w:t>
            </w:r>
            <w:r w:rsidRPr="00DA04DE">
              <w:rPr>
                <w:rFonts w:ascii="Times New Roman" w:hAnsi="Times New Roman" w:cs="Times New Roman"/>
                <w:u w:val="single"/>
              </w:rPr>
              <w:t>&gt;</w:t>
            </w:r>
            <w:r>
              <w:rPr>
                <w:rFonts w:ascii="Times New Roman" w:hAnsi="Times New Roman" w:cs="Times New Roman"/>
              </w:rPr>
              <w:t xml:space="preserve"> 5 ed HER2 negativi</w:t>
            </w:r>
            <w:r w:rsidR="001A0F98">
              <w:rPr>
                <w:rFonts w:ascii="Times New Roman" w:hAnsi="Times New Roman" w:cs="Times New Roman"/>
              </w:rPr>
              <w:t xml:space="preserve"> (</w:t>
            </w:r>
            <w:r w:rsidR="001A0F98" w:rsidRPr="001A0F98">
              <w:rPr>
                <w:rFonts w:ascii="Times New Roman" w:hAnsi="Times New Roman" w:cs="Times New Roman"/>
                <w:u w:val="single"/>
              </w:rPr>
              <w:t>sede: esofago e giunzione Siewert 1-2-3</w:t>
            </w:r>
            <w:r w:rsidR="001A0F98">
              <w:rPr>
                <w:rFonts w:ascii="Times New Roman" w:hAnsi="Times New Roman" w:cs="Times New Roman"/>
              </w:rPr>
              <w:t>)</w:t>
            </w:r>
            <w:r>
              <w:rPr>
                <w:rFonts w:ascii="Times New Roman" w:hAnsi="Times New Roman" w:cs="Times New Roman"/>
              </w:rPr>
              <w:t>.</w:t>
            </w:r>
          </w:p>
          <w:p w14:paraId="6EFDB8DF"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Valutare l’inserimento in trials clinici.</w:t>
            </w:r>
          </w:p>
          <w:p w14:paraId="16AA43F7"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Chirurgia palliativa del primitivo in caso di stenosi serrate o</w:t>
            </w:r>
          </w:p>
          <w:p w14:paraId="2B137647"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Sanguinamenti</w:t>
            </w:r>
          </w:p>
          <w:p w14:paraId="44C30BB5"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 xml:space="preserve">Posizionamento di endoprotesi in caso di disfagia (compatibilmente ai </w:t>
            </w:r>
          </w:p>
          <w:p w14:paraId="09A50303"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trattamenti e all’attesa di vista)</w:t>
            </w:r>
          </w:p>
          <w:p w14:paraId="1A713EEB"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 xml:space="preserve">Supporto nutrizionistico (valutazione in </w:t>
            </w:r>
          </w:p>
          <w:p w14:paraId="05877306"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primis per enterale, anche artificiale)</w:t>
            </w:r>
          </w:p>
          <w:p w14:paraId="08815A2E" w14:textId="385462C1" w:rsidR="009779D9" w:rsidRPr="002F08FA" w:rsidRDefault="009779D9" w:rsidP="009779D9">
            <w:pPr>
              <w:spacing w:line="276" w:lineRule="auto"/>
              <w:rPr>
                <w:rFonts w:ascii="Times New Roman" w:hAnsi="Times New Roman" w:cs="Times New Roman"/>
              </w:rPr>
            </w:pPr>
            <w:r w:rsidRPr="009779D9">
              <w:rPr>
                <w:rFonts w:ascii="Times New Roman" w:hAnsi="Times New Roman" w:cs="Times New Roman"/>
              </w:rPr>
              <w:t>Terapia antalgica</w:t>
            </w:r>
          </w:p>
        </w:tc>
      </w:tr>
      <w:tr w:rsidR="009779D9" w14:paraId="5D73D7B9" w14:textId="77777777" w:rsidTr="001040D4">
        <w:trPr>
          <w:trHeight w:val="1532"/>
        </w:trPr>
        <w:tc>
          <w:tcPr>
            <w:tcW w:w="1980" w:type="dxa"/>
          </w:tcPr>
          <w:p w14:paraId="2DB27A60" w14:textId="77777777" w:rsidR="009779D9" w:rsidRPr="002F08FA" w:rsidRDefault="009779D9" w:rsidP="001040D4">
            <w:pPr>
              <w:spacing w:line="276" w:lineRule="auto"/>
              <w:rPr>
                <w:rFonts w:ascii="Times New Roman" w:eastAsia="Times New Roman" w:hAnsi="Times New Roman" w:cs="Times New Roman"/>
                <w:b/>
              </w:rPr>
            </w:pPr>
          </w:p>
        </w:tc>
        <w:tc>
          <w:tcPr>
            <w:tcW w:w="7648" w:type="dxa"/>
          </w:tcPr>
          <w:p w14:paraId="31E3AF81" w14:textId="77777777" w:rsidR="002A0FBA" w:rsidRDefault="002A0FBA" w:rsidP="002A0FBA">
            <w:pPr>
              <w:spacing w:line="276" w:lineRule="auto"/>
              <w:rPr>
                <w:rFonts w:ascii="Times New Roman" w:hAnsi="Times New Roman" w:cs="Times New Roman"/>
                <w:b/>
                <w:bCs/>
                <w:u w:val="single"/>
              </w:rPr>
            </w:pPr>
            <w:r w:rsidRPr="00EF651F">
              <w:rPr>
                <w:rFonts w:ascii="Times New Roman" w:hAnsi="Times New Roman" w:cs="Times New Roman"/>
                <w:b/>
                <w:bCs/>
                <w:u w:val="single"/>
              </w:rPr>
              <w:t>Istologia Squamosa</w:t>
            </w:r>
          </w:p>
          <w:p w14:paraId="432B9E93" w14:textId="7B777C2C" w:rsidR="002A0FBA" w:rsidRDefault="002A0FBA" w:rsidP="002A0FBA">
            <w:pPr>
              <w:spacing w:line="276" w:lineRule="auto"/>
              <w:rPr>
                <w:rFonts w:ascii="Times New Roman" w:hAnsi="Times New Roman" w:cs="Times New Roman"/>
              </w:rPr>
            </w:pPr>
            <w:r w:rsidRPr="009779D9">
              <w:rPr>
                <w:rFonts w:ascii="Times New Roman" w:hAnsi="Times New Roman" w:cs="Times New Roman"/>
              </w:rPr>
              <w:t xml:space="preserve">Immunoterapia di II linea </w:t>
            </w:r>
            <w:r>
              <w:rPr>
                <w:rFonts w:ascii="Times New Roman" w:hAnsi="Times New Roman" w:cs="Times New Roman"/>
              </w:rPr>
              <w:t xml:space="preserve">a base di Nivolumab </w:t>
            </w:r>
            <w:r w:rsidRPr="009779D9">
              <w:rPr>
                <w:rFonts w:ascii="Times New Roman" w:hAnsi="Times New Roman" w:cs="Times New Roman"/>
              </w:rPr>
              <w:t>(</w:t>
            </w:r>
            <w:r>
              <w:rPr>
                <w:rFonts w:ascii="Times New Roman" w:hAnsi="Times New Roman" w:cs="Times New Roman"/>
              </w:rPr>
              <w:t>esclusivamente in pazienti non pretrattati con chemio-immunoterapia precedentemente</w:t>
            </w:r>
            <w:r w:rsidRPr="009779D9">
              <w:rPr>
                <w:rFonts w:ascii="Times New Roman" w:hAnsi="Times New Roman" w:cs="Times New Roman"/>
              </w:rPr>
              <w:t>)</w:t>
            </w:r>
            <w:r>
              <w:rPr>
                <w:rFonts w:ascii="Times New Roman" w:hAnsi="Times New Roman" w:cs="Times New Roman"/>
              </w:rPr>
              <w:t>.</w:t>
            </w:r>
          </w:p>
          <w:p w14:paraId="046C8DDD" w14:textId="2EF6AF91" w:rsidR="002A0FBA" w:rsidRDefault="002A0FBA" w:rsidP="002A0FBA">
            <w:pPr>
              <w:spacing w:line="276" w:lineRule="auto"/>
              <w:rPr>
                <w:rFonts w:ascii="Times New Roman" w:hAnsi="Times New Roman" w:cs="Times New Roman"/>
              </w:rPr>
            </w:pPr>
            <w:r>
              <w:rPr>
                <w:rFonts w:ascii="Times New Roman" w:hAnsi="Times New Roman" w:cs="Times New Roman"/>
              </w:rPr>
              <w:t>Chemioterapia a base di taxani e iriniotecano in II/III linea in pazientu con buon performance status (PS 0-1)</w:t>
            </w:r>
          </w:p>
          <w:p w14:paraId="232F9D68" w14:textId="77777777" w:rsidR="002A0FBA" w:rsidRPr="009779D9" w:rsidRDefault="002A0FBA" w:rsidP="002A0FBA">
            <w:pPr>
              <w:spacing w:line="276" w:lineRule="auto"/>
              <w:rPr>
                <w:rFonts w:ascii="Times New Roman" w:hAnsi="Times New Roman" w:cs="Times New Roman"/>
              </w:rPr>
            </w:pPr>
            <w:r w:rsidRPr="009779D9">
              <w:rPr>
                <w:rFonts w:ascii="Times New Roman" w:hAnsi="Times New Roman" w:cs="Times New Roman"/>
              </w:rPr>
              <w:t>Valutare l’inserimento in trials clinici</w:t>
            </w:r>
          </w:p>
          <w:p w14:paraId="07CF9218" w14:textId="77777777" w:rsidR="002A0FBA" w:rsidRDefault="002A0FBA" w:rsidP="002A0FBA">
            <w:pPr>
              <w:spacing w:line="276" w:lineRule="auto"/>
              <w:rPr>
                <w:rFonts w:ascii="Times New Roman" w:hAnsi="Times New Roman" w:cs="Times New Roman"/>
              </w:rPr>
            </w:pPr>
          </w:p>
          <w:p w14:paraId="15ABDAD4" w14:textId="2C75144E" w:rsidR="002A0FBA" w:rsidRDefault="002A0FBA" w:rsidP="009779D9">
            <w:pPr>
              <w:spacing w:line="276" w:lineRule="auto"/>
              <w:rPr>
                <w:rFonts w:ascii="Times New Roman" w:hAnsi="Times New Roman" w:cs="Times New Roman"/>
              </w:rPr>
            </w:pPr>
            <w:r w:rsidRPr="00EF651F">
              <w:rPr>
                <w:rFonts w:ascii="Times New Roman" w:hAnsi="Times New Roman" w:cs="Times New Roman"/>
                <w:b/>
                <w:bCs/>
                <w:u w:val="single"/>
              </w:rPr>
              <w:t>Istologia adenocarcinoma</w:t>
            </w:r>
          </w:p>
          <w:p w14:paraId="7C63D3EC" w14:textId="5EDE6A96"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 xml:space="preserve">Chemioterapia di II linea in pazienti con performance status (PS) 0-1 in </w:t>
            </w:r>
          </w:p>
          <w:p w14:paraId="1CC6101A" w14:textId="77777777" w:rsidR="009779D9" w:rsidRDefault="009779D9" w:rsidP="009779D9">
            <w:pPr>
              <w:spacing w:line="276" w:lineRule="auto"/>
              <w:rPr>
                <w:rFonts w:ascii="Times New Roman" w:hAnsi="Times New Roman" w:cs="Times New Roman"/>
              </w:rPr>
            </w:pPr>
            <w:r w:rsidRPr="009779D9">
              <w:rPr>
                <w:rFonts w:ascii="Times New Roman" w:hAnsi="Times New Roman" w:cs="Times New Roman"/>
              </w:rPr>
              <w:t>progressione dopo una I linea di trattamento.</w:t>
            </w:r>
          </w:p>
          <w:p w14:paraId="434C8AE9" w14:textId="1730AC32" w:rsidR="008D0EB9" w:rsidRPr="009779D9" w:rsidRDefault="008D0EB9" w:rsidP="009779D9">
            <w:pPr>
              <w:spacing w:line="276" w:lineRule="auto"/>
              <w:rPr>
                <w:rFonts w:ascii="Times New Roman" w:hAnsi="Times New Roman" w:cs="Times New Roman"/>
              </w:rPr>
            </w:pPr>
            <w:r>
              <w:rPr>
                <w:rFonts w:ascii="Times New Roman" w:hAnsi="Times New Roman" w:cs="Times New Roman"/>
              </w:rPr>
              <w:t>Immunoterapia di II linea (Pembrolizumab) in pazienti MSI-H (sede: esclusivamente Giunzione Siewert III, assimilabile ad adenocarcinoma gastrico) con performance status (PS) 0-1 in progressione dopo una I linea di trattamento e non esposti</w:t>
            </w:r>
            <w:r w:rsidR="00BE727D">
              <w:rPr>
                <w:rFonts w:ascii="Times New Roman" w:hAnsi="Times New Roman" w:cs="Times New Roman"/>
              </w:rPr>
              <w:t xml:space="preserve"> precedentemente</w:t>
            </w:r>
            <w:r>
              <w:rPr>
                <w:rFonts w:ascii="Times New Roman" w:hAnsi="Times New Roman" w:cs="Times New Roman"/>
              </w:rPr>
              <w:t xml:space="preserve"> ad immunoterapia.</w:t>
            </w:r>
          </w:p>
          <w:p w14:paraId="572182A6"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 xml:space="preserve">Chemioterapia di III linea in pazienti con performance status (PS) 0-1 in </w:t>
            </w:r>
          </w:p>
          <w:p w14:paraId="3B9E005C"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progressione dopo una II linea di trattamento.</w:t>
            </w:r>
          </w:p>
          <w:p w14:paraId="37808C09" w14:textId="3FBCB45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Valutare l’inserimento in trials clinici</w:t>
            </w:r>
            <w:r w:rsidR="008D0EB9">
              <w:rPr>
                <w:rFonts w:ascii="Times New Roman" w:hAnsi="Times New Roman" w:cs="Times New Roman"/>
              </w:rPr>
              <w:t>.</w:t>
            </w:r>
          </w:p>
          <w:p w14:paraId="5F36F78B" w14:textId="77777777" w:rsidR="009779D9" w:rsidRPr="009779D9" w:rsidRDefault="009779D9" w:rsidP="009779D9">
            <w:pPr>
              <w:spacing w:line="276" w:lineRule="auto"/>
              <w:rPr>
                <w:rFonts w:ascii="Times New Roman" w:hAnsi="Times New Roman" w:cs="Times New Roman"/>
              </w:rPr>
            </w:pPr>
          </w:p>
          <w:p w14:paraId="210CA50E" w14:textId="77777777" w:rsidR="009779D9" w:rsidRPr="009779D9" w:rsidRDefault="009779D9" w:rsidP="009779D9">
            <w:pPr>
              <w:spacing w:line="276" w:lineRule="auto"/>
              <w:rPr>
                <w:rFonts w:ascii="Times New Roman" w:hAnsi="Times New Roman" w:cs="Times New Roman"/>
                <w:b/>
              </w:rPr>
            </w:pPr>
            <w:r w:rsidRPr="009779D9">
              <w:rPr>
                <w:rFonts w:ascii="Times New Roman" w:hAnsi="Times New Roman" w:cs="Times New Roman"/>
                <w:b/>
              </w:rPr>
              <w:t>Terapie concomitanti palliative:</w:t>
            </w:r>
          </w:p>
          <w:p w14:paraId="7D24C128"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 xml:space="preserve">- Palliazione disfagia (valutazione endoprotesi o RT/brachiterapia in base </w:t>
            </w:r>
          </w:p>
          <w:p w14:paraId="061308C8"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all’aspettativa di vita)</w:t>
            </w:r>
          </w:p>
          <w:p w14:paraId="23448DD7"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 xml:space="preserve">- Palliazione del sanguinamento (chirurgia palliativa, trattamento medico o </w:t>
            </w:r>
          </w:p>
          <w:p w14:paraId="180238E4" w14:textId="77777777" w:rsidR="009779D9" w:rsidRPr="009779D9" w:rsidRDefault="009779D9" w:rsidP="009779D9">
            <w:pPr>
              <w:spacing w:line="276" w:lineRule="auto"/>
              <w:rPr>
                <w:rFonts w:ascii="Times New Roman" w:hAnsi="Times New Roman" w:cs="Times New Roman"/>
              </w:rPr>
            </w:pPr>
            <w:r w:rsidRPr="009779D9">
              <w:rPr>
                <w:rFonts w:ascii="Times New Roman" w:hAnsi="Times New Roman" w:cs="Times New Roman"/>
              </w:rPr>
              <w:t>RT)</w:t>
            </w:r>
          </w:p>
          <w:p w14:paraId="03E403D6" w14:textId="284D36C1" w:rsidR="009779D9" w:rsidRPr="002F08FA" w:rsidRDefault="009779D9" w:rsidP="009779D9">
            <w:pPr>
              <w:spacing w:line="276" w:lineRule="auto"/>
              <w:rPr>
                <w:rFonts w:ascii="Times New Roman" w:hAnsi="Times New Roman" w:cs="Times New Roman"/>
              </w:rPr>
            </w:pPr>
            <w:r w:rsidRPr="009779D9">
              <w:rPr>
                <w:rFonts w:ascii="Times New Roman" w:hAnsi="Times New Roman" w:cs="Times New Roman"/>
              </w:rPr>
              <w:t>- Supporto nutrizionale (enterale sng, digiunostomia o PEG vs parenterale)</w:t>
            </w:r>
          </w:p>
        </w:tc>
      </w:tr>
    </w:tbl>
    <w:p w14:paraId="7BC0ECA9" w14:textId="77777777" w:rsidR="009779D9" w:rsidRPr="00955A9B" w:rsidRDefault="009779D9" w:rsidP="00955A9B">
      <w:pPr>
        <w:spacing w:line="360" w:lineRule="auto"/>
        <w:ind w:left="120" w:right="40"/>
        <w:jc w:val="both"/>
        <w:rPr>
          <w:rFonts w:ascii="Times New Roman" w:eastAsia="Times New Roman" w:hAnsi="Times New Roman" w:cs="Times New Roman"/>
          <w:b/>
          <w:sz w:val="24"/>
          <w:szCs w:val="24"/>
        </w:rPr>
      </w:pPr>
    </w:p>
    <w:p w14:paraId="560A0DDE" w14:textId="77777777" w:rsidR="00955A9B" w:rsidRPr="00955A9B" w:rsidRDefault="00955A9B" w:rsidP="00955A9B">
      <w:pPr>
        <w:spacing w:line="240" w:lineRule="auto"/>
        <w:rPr>
          <w:rFonts w:ascii="Times New Roman" w:eastAsia="Times New Roman" w:hAnsi="Times New Roman" w:cs="Times New Roman"/>
          <w:szCs w:val="24"/>
        </w:rPr>
      </w:pPr>
    </w:p>
    <w:p w14:paraId="5AC2DD68" w14:textId="77777777" w:rsidR="00955A9B" w:rsidRPr="00955A9B" w:rsidRDefault="00955A9B" w:rsidP="00955A9B">
      <w:pPr>
        <w:spacing w:line="360" w:lineRule="auto"/>
        <w:jc w:val="both"/>
        <w:rPr>
          <w:rFonts w:ascii="Times New Roman" w:eastAsia="Times New Roman" w:hAnsi="Times New Roman" w:cs="Times New Roman"/>
          <w:b/>
          <w:sz w:val="24"/>
          <w:szCs w:val="24"/>
        </w:rPr>
      </w:pPr>
      <w:r w:rsidRPr="00955A9B">
        <w:rPr>
          <w:rFonts w:ascii="Times New Roman" w:eastAsia="Times New Roman" w:hAnsi="Times New Roman" w:cs="Times New Roman"/>
          <w:b/>
          <w:sz w:val="24"/>
          <w:szCs w:val="24"/>
        </w:rPr>
        <w:t>FOLLOW-UP PER PAZIENTE CON PATOLOGIA ESOFAGEA PREGRESSA</w:t>
      </w:r>
    </w:p>
    <w:p w14:paraId="01BE82A3" w14:textId="5D9E75C5" w:rsidR="00955A9B" w:rsidRPr="00A921D1" w:rsidRDefault="00955A9B" w:rsidP="00955A9B">
      <w:pPr>
        <w:spacing w:line="360" w:lineRule="auto"/>
        <w:jc w:val="both"/>
        <w:rPr>
          <w:rFonts w:ascii="Times New Roman" w:eastAsia="Times New Roman" w:hAnsi="Times New Roman" w:cs="Times New Roman"/>
          <w:sz w:val="24"/>
          <w:szCs w:val="24"/>
        </w:rPr>
      </w:pPr>
      <w:r w:rsidRPr="00955A9B">
        <w:rPr>
          <w:rFonts w:ascii="Times New Roman" w:eastAsia="Times New Roman" w:hAnsi="Times New Roman" w:cs="Times New Roman"/>
          <w:sz w:val="24"/>
          <w:szCs w:val="24"/>
        </w:rPr>
        <w:t>Qualora la malattia fosse suscettibile di trattamento chirurgico radicale, al termine della gestione terapeutica multidisciplinare del caso, il/la paziente rientrerà in un adeguato percorso di follow-up clinico-strumentale per i successivi 5 anni ai fini dell’individuazione precoce di eventuali recidive locali o a distanza (Tabella 9) e della presenza di complicanze legate all’intervento chirurgico (es. anemia, dumping sindrome). Ad oggi, non esistono programmi di follow-up standardizzati. In caso di recidiva il/la paziente sarà opportunamente rivalutato/a dall’Oncologo Medico al fine di definire il più opportuno percorso terapeutico, in accordo a quelle che saranno le più aggiornate linee guida nazionali ed internazionali. Tali percorsi saranno modificati nel tempo al fine di garantire il rispetto delle più aggiornate linee guida nazionali ed internazionali del caso. Ai fini della stadiazione e del successivo percorso terapeutico del caso, si rimanda ai rispettivi PDTA in precedenza illustrati e le principali linee guida p</w:t>
      </w:r>
      <w:r w:rsidR="00A921D1">
        <w:rPr>
          <w:rFonts w:ascii="Times New Roman" w:eastAsia="Times New Roman" w:hAnsi="Times New Roman" w:cs="Times New Roman"/>
          <w:sz w:val="24"/>
          <w:szCs w:val="24"/>
        </w:rPr>
        <w:t>er la gestione della patologia.</w:t>
      </w:r>
    </w:p>
    <w:p w14:paraId="027EFDF1" w14:textId="71531C0C" w:rsidR="00955A9B" w:rsidRPr="00955A9B" w:rsidRDefault="00836B7B" w:rsidP="00955A9B">
      <w:pPr>
        <w:spacing w:line="36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Tabella 17</w:t>
      </w:r>
      <w:r w:rsidR="004A3F31">
        <w:rPr>
          <w:rFonts w:ascii="Times New Roman" w:eastAsia="Times New Roman" w:hAnsi="Times New Roman" w:cs="Times New Roman"/>
          <w:b/>
          <w:sz w:val="24"/>
          <w:szCs w:val="24"/>
        </w:rPr>
        <w:t>a</w:t>
      </w:r>
      <w:r w:rsidR="00955A9B" w:rsidRPr="00955A9B">
        <w:rPr>
          <w:rFonts w:ascii="Times New Roman" w:eastAsia="Times New Roman" w:hAnsi="Times New Roman" w:cs="Times New Roman"/>
          <w:b/>
          <w:sz w:val="24"/>
          <w:szCs w:val="24"/>
        </w:rPr>
        <w:t xml:space="preserve">. Schedula di follow-up nei pazienti trattati per neoplasia </w:t>
      </w:r>
      <w:r w:rsidR="004A3F31">
        <w:rPr>
          <w:rFonts w:ascii="Times New Roman" w:eastAsia="Times New Roman" w:hAnsi="Times New Roman" w:cs="Times New Roman"/>
          <w:b/>
          <w:sz w:val="24"/>
          <w:szCs w:val="24"/>
        </w:rPr>
        <w:t>esofagea istologia adenocarcinoma</w:t>
      </w:r>
      <w:r w:rsidR="00955A9B" w:rsidRPr="00955A9B">
        <w:rPr>
          <w:rFonts w:ascii="Times New Roman" w:hAnsi="Times New Roman" w:cs="Times New Roman"/>
          <w:noProof/>
          <w:sz w:val="24"/>
          <w:szCs w:val="24"/>
          <w:lang w:eastAsia="it-IT"/>
        </w:rPr>
        <mc:AlternateContent>
          <mc:Choice Requires="wps">
            <w:drawing>
              <wp:anchor distT="4294967294" distB="4294967294" distL="114300" distR="114300" simplePos="0" relativeHeight="251729920" behindDoc="1" locked="0" layoutInCell="1" allowOverlap="1" wp14:anchorId="5A4DBB5A" wp14:editId="73195C76">
                <wp:simplePos x="0" y="0"/>
                <wp:positionH relativeFrom="column">
                  <wp:posOffset>2540</wp:posOffset>
                </wp:positionH>
                <wp:positionV relativeFrom="paragraph">
                  <wp:posOffset>356234</wp:posOffset>
                </wp:positionV>
                <wp:extent cx="6115685" cy="0"/>
                <wp:effectExtent l="0" t="0" r="0" b="0"/>
                <wp:wrapNone/>
                <wp:docPr id="39" name="Connettore dirit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5">
                          <a:solidFill>
                            <a:srgbClr val="7F7F7F"/>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372DAA" id="Connettore diritto 39" o:spid="_x0000_s1026" style="position:absolute;z-index:-251586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28.05pt" to="481.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" strokecolor="#7f7f7f" strokeweight=".16931mm"/>
            </w:pict>
          </mc:Fallback>
        </mc:AlternateContent>
      </w:r>
    </w:p>
    <w:p w14:paraId="5CE0ACC3" w14:textId="0BC59054" w:rsidR="00955A9B" w:rsidRPr="00955A9B" w:rsidRDefault="00A921D1" w:rsidP="00955A9B">
      <w:pPr>
        <w:tabs>
          <w:tab w:val="left" w:pos="4060"/>
        </w:tabs>
        <w:spacing w:line="240" w:lineRule="auto"/>
        <w:ind w:left="2100"/>
        <w:rPr>
          <w:rFonts w:ascii="Times New Roman" w:eastAsia="Times New Roman" w:hAnsi="Times New Roman" w:cs="Times New Roman"/>
          <w:b/>
          <w:szCs w:val="24"/>
        </w:rPr>
      </w:pPr>
      <w:r>
        <w:rPr>
          <w:rFonts w:ascii="Times New Roman" w:eastAsia="Times New Roman" w:hAnsi="Times New Roman" w:cs="Times New Roman"/>
          <w:b/>
          <w:szCs w:val="24"/>
        </w:rPr>
        <w:t xml:space="preserve">                                   </w:t>
      </w:r>
      <w:r w:rsidR="00955A9B" w:rsidRPr="00955A9B">
        <w:rPr>
          <w:rFonts w:ascii="Times New Roman" w:eastAsia="Times New Roman" w:hAnsi="Times New Roman" w:cs="Times New Roman"/>
          <w:b/>
          <w:szCs w:val="24"/>
        </w:rPr>
        <w:t>Timing</w:t>
      </w:r>
      <w:r w:rsidR="00955A9B" w:rsidRPr="00955A9B">
        <w:rPr>
          <w:rFonts w:ascii="Times New Roman" w:eastAsia="Times New Roman" w:hAnsi="Times New Roman" w:cs="Times New Roman"/>
          <w:b/>
          <w:szCs w:val="24"/>
        </w:rPr>
        <w:tab/>
      </w:r>
      <w:r>
        <w:rPr>
          <w:rFonts w:ascii="Times New Roman" w:eastAsia="Times New Roman" w:hAnsi="Times New Roman" w:cs="Times New Roman"/>
          <w:b/>
          <w:szCs w:val="24"/>
        </w:rPr>
        <w:t xml:space="preserve">                                 </w:t>
      </w:r>
      <w:r w:rsidR="00955A9B" w:rsidRPr="00955A9B">
        <w:rPr>
          <w:rFonts w:ascii="Times New Roman" w:eastAsia="Times New Roman" w:hAnsi="Times New Roman" w:cs="Times New Roman"/>
          <w:b/>
          <w:szCs w:val="24"/>
        </w:rPr>
        <w:t>Follow-up</w:t>
      </w:r>
      <w:r w:rsidR="00955A9B" w:rsidRPr="00955A9B">
        <w:rPr>
          <w:rFonts w:ascii="Times New Roman" w:hAnsi="Times New Roman" w:cs="Times New Roman"/>
          <w:b/>
          <w:noProof/>
          <w:szCs w:val="24"/>
          <w:lang w:eastAsia="it-IT"/>
        </w:rPr>
        <mc:AlternateContent>
          <mc:Choice Requires="wps">
            <w:drawing>
              <wp:anchor distT="4294967294" distB="4294967294" distL="114300" distR="114300" simplePos="0" relativeHeight="251730944" behindDoc="1" locked="0" layoutInCell="1" allowOverlap="1" wp14:anchorId="2EFD02DE" wp14:editId="3B63DCFC">
                <wp:simplePos x="0" y="0"/>
                <wp:positionH relativeFrom="column">
                  <wp:posOffset>2540</wp:posOffset>
                </wp:positionH>
                <wp:positionV relativeFrom="paragraph">
                  <wp:posOffset>411479</wp:posOffset>
                </wp:positionV>
                <wp:extent cx="6115685" cy="0"/>
                <wp:effectExtent l="0" t="0" r="0" b="0"/>
                <wp:wrapNone/>
                <wp:docPr id="50" name="Connettore dirit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5">
                          <a:solidFill>
                            <a:srgbClr val="7F7F7F"/>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C8E2F5" id="Connettore diritto 50" o:spid="_x0000_s1026" style="position:absolute;z-index:-251585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32.4pt" to="481.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" strokecolor="#7f7f7f" strokeweight=".16931mm"/>
            </w:pict>
          </mc:Fallback>
        </mc:AlternateContent>
      </w:r>
    </w:p>
    <w:p w14:paraId="565DF877" w14:textId="2A407B0E" w:rsidR="00955A9B" w:rsidRPr="00955A9B" w:rsidRDefault="00955A9B" w:rsidP="00955A9B">
      <w:pPr>
        <w:spacing w:line="240" w:lineRule="auto"/>
        <w:rPr>
          <w:rFonts w:ascii="Times New Roman" w:hAnsi="Times New Roman" w:cs="Times New Roman"/>
          <w:szCs w:val="24"/>
        </w:rPr>
      </w:pPr>
    </w:p>
    <w:tbl>
      <w:tblPr>
        <w:tblStyle w:val="Grigliatabella"/>
        <w:tblW w:w="0" w:type="auto"/>
        <w:tblLook w:val="04A0" w:firstRow="1" w:lastRow="0" w:firstColumn="1" w:lastColumn="0" w:noHBand="0" w:noVBand="1"/>
      </w:tblPr>
      <w:tblGrid>
        <w:gridCol w:w="3209"/>
        <w:gridCol w:w="3209"/>
        <w:gridCol w:w="3210"/>
      </w:tblGrid>
      <w:tr w:rsidR="00A921D1" w:rsidRPr="00A921D1" w14:paraId="2CE69777" w14:textId="77777777" w:rsidTr="001040D4">
        <w:tc>
          <w:tcPr>
            <w:tcW w:w="3209" w:type="dxa"/>
          </w:tcPr>
          <w:p w14:paraId="0992E5CE" w14:textId="77777777" w:rsidR="00A921D1" w:rsidRPr="00A921D1" w:rsidRDefault="00A921D1" w:rsidP="001040D4">
            <w:pPr>
              <w:rPr>
                <w:rFonts w:ascii="Times New Roman" w:hAnsi="Times New Roman" w:cs="Times New Roman"/>
                <w:b/>
                <w:sz w:val="20"/>
                <w:szCs w:val="24"/>
              </w:rPr>
            </w:pPr>
            <w:r w:rsidRPr="00A921D1">
              <w:rPr>
                <w:rFonts w:ascii="Times New Roman" w:hAnsi="Times New Roman" w:cs="Times New Roman"/>
                <w:b/>
                <w:sz w:val="20"/>
                <w:szCs w:val="24"/>
              </w:rPr>
              <w:t>0-2 anni</w:t>
            </w:r>
          </w:p>
        </w:tc>
        <w:tc>
          <w:tcPr>
            <w:tcW w:w="3209" w:type="dxa"/>
          </w:tcPr>
          <w:p w14:paraId="6386C70E" w14:textId="77777777" w:rsidR="00A921D1" w:rsidRPr="00A921D1" w:rsidRDefault="00A921D1" w:rsidP="001040D4">
            <w:pPr>
              <w:rPr>
                <w:rFonts w:ascii="Times New Roman" w:hAnsi="Times New Roman" w:cs="Times New Roman"/>
                <w:b/>
                <w:sz w:val="20"/>
                <w:szCs w:val="24"/>
              </w:rPr>
            </w:pPr>
            <w:r w:rsidRPr="00A921D1">
              <w:rPr>
                <w:rFonts w:ascii="Times New Roman" w:hAnsi="Times New Roman" w:cs="Times New Roman"/>
                <w:b/>
                <w:sz w:val="20"/>
                <w:szCs w:val="24"/>
              </w:rPr>
              <w:t>Ogni 3-4 mesi</w:t>
            </w:r>
          </w:p>
        </w:tc>
        <w:tc>
          <w:tcPr>
            <w:tcW w:w="3210" w:type="dxa"/>
          </w:tcPr>
          <w:p w14:paraId="448F5F45"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-Visita clinica</w:t>
            </w:r>
          </w:p>
          <w:p w14:paraId="4B46A538"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-Esami ematochimici</w:t>
            </w:r>
          </w:p>
          <w:p w14:paraId="703D364C"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-EGDS ogni anno; TC total body con mdc ogni anno; Ecografia addome ogni 6 mesi</w:t>
            </w:r>
          </w:p>
          <w:p w14:paraId="77590375"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-Esami strumentali da eseguire su necessità clinica</w:t>
            </w:r>
          </w:p>
        </w:tc>
      </w:tr>
      <w:tr w:rsidR="00A921D1" w:rsidRPr="00A921D1" w14:paraId="45FC94DE" w14:textId="77777777" w:rsidTr="001040D4">
        <w:tc>
          <w:tcPr>
            <w:tcW w:w="3209" w:type="dxa"/>
          </w:tcPr>
          <w:p w14:paraId="254D82BA" w14:textId="77777777" w:rsidR="00A921D1" w:rsidRPr="00A921D1" w:rsidRDefault="00A921D1" w:rsidP="001040D4">
            <w:pPr>
              <w:rPr>
                <w:rFonts w:ascii="Times New Roman" w:hAnsi="Times New Roman" w:cs="Times New Roman"/>
                <w:b/>
                <w:sz w:val="20"/>
                <w:szCs w:val="24"/>
              </w:rPr>
            </w:pPr>
            <w:r w:rsidRPr="00A921D1">
              <w:rPr>
                <w:rFonts w:ascii="Times New Roman" w:hAnsi="Times New Roman" w:cs="Times New Roman"/>
                <w:b/>
                <w:sz w:val="20"/>
                <w:szCs w:val="24"/>
              </w:rPr>
              <w:t>3-5 anni</w:t>
            </w:r>
          </w:p>
        </w:tc>
        <w:tc>
          <w:tcPr>
            <w:tcW w:w="3209" w:type="dxa"/>
          </w:tcPr>
          <w:p w14:paraId="299CF2E3" w14:textId="77777777" w:rsidR="00A921D1" w:rsidRPr="00A921D1" w:rsidRDefault="00A921D1" w:rsidP="001040D4">
            <w:pPr>
              <w:rPr>
                <w:rFonts w:ascii="Times New Roman" w:hAnsi="Times New Roman" w:cs="Times New Roman"/>
                <w:b/>
                <w:sz w:val="20"/>
                <w:szCs w:val="24"/>
              </w:rPr>
            </w:pPr>
            <w:r w:rsidRPr="00A921D1">
              <w:rPr>
                <w:rFonts w:ascii="Times New Roman" w:hAnsi="Times New Roman" w:cs="Times New Roman"/>
                <w:b/>
                <w:sz w:val="20"/>
                <w:szCs w:val="24"/>
              </w:rPr>
              <w:t>Ogni 6 mesi</w:t>
            </w:r>
          </w:p>
        </w:tc>
        <w:tc>
          <w:tcPr>
            <w:tcW w:w="3210" w:type="dxa"/>
          </w:tcPr>
          <w:p w14:paraId="051EB5BA"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-Visita clinica</w:t>
            </w:r>
          </w:p>
          <w:p w14:paraId="062E4A16"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-Esami ematochimici</w:t>
            </w:r>
          </w:p>
          <w:p w14:paraId="38DCD33B"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-EGDS ogni 2 anni; TC total body con mdc ogni anno; Ecografia addome ogni 6 mesi</w:t>
            </w:r>
          </w:p>
          <w:p w14:paraId="0AA062D7"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-Esami strumentali da eseguire su necessità clinica</w:t>
            </w:r>
          </w:p>
        </w:tc>
      </w:tr>
      <w:tr w:rsidR="00A921D1" w:rsidRPr="00A921D1" w14:paraId="6C005CDC" w14:textId="77777777" w:rsidTr="001040D4">
        <w:tc>
          <w:tcPr>
            <w:tcW w:w="3209" w:type="dxa"/>
          </w:tcPr>
          <w:p w14:paraId="05E7DC6C" w14:textId="77777777" w:rsidR="00A921D1" w:rsidRPr="00A921D1" w:rsidRDefault="00A921D1" w:rsidP="001040D4">
            <w:pPr>
              <w:rPr>
                <w:rFonts w:ascii="Times New Roman" w:hAnsi="Times New Roman" w:cs="Times New Roman"/>
                <w:b/>
                <w:sz w:val="20"/>
                <w:szCs w:val="24"/>
              </w:rPr>
            </w:pPr>
            <w:r w:rsidRPr="00A921D1">
              <w:rPr>
                <w:rFonts w:ascii="Times New Roman" w:hAnsi="Times New Roman" w:cs="Times New Roman"/>
                <w:b/>
                <w:sz w:val="20"/>
                <w:szCs w:val="24"/>
              </w:rPr>
              <w:t>&gt;5 anni</w:t>
            </w:r>
          </w:p>
        </w:tc>
        <w:tc>
          <w:tcPr>
            <w:tcW w:w="3209" w:type="dxa"/>
          </w:tcPr>
          <w:p w14:paraId="2AFFD18F" w14:textId="77777777" w:rsidR="00A921D1" w:rsidRPr="00A921D1" w:rsidRDefault="00A921D1" w:rsidP="001040D4">
            <w:pPr>
              <w:rPr>
                <w:rFonts w:ascii="Times New Roman" w:hAnsi="Times New Roman" w:cs="Times New Roman"/>
                <w:b/>
                <w:sz w:val="20"/>
                <w:szCs w:val="24"/>
              </w:rPr>
            </w:pPr>
            <w:r w:rsidRPr="00A921D1">
              <w:rPr>
                <w:rFonts w:ascii="Times New Roman" w:hAnsi="Times New Roman" w:cs="Times New Roman"/>
                <w:b/>
                <w:sz w:val="20"/>
                <w:szCs w:val="24"/>
              </w:rPr>
              <w:t>Ogni anno</w:t>
            </w:r>
          </w:p>
        </w:tc>
        <w:tc>
          <w:tcPr>
            <w:tcW w:w="3210" w:type="dxa"/>
          </w:tcPr>
          <w:p w14:paraId="331728E0"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-Esami strumentali da eseguire su necessità clinica</w:t>
            </w:r>
          </w:p>
          <w:p w14:paraId="1A87EF9F" w14:textId="77777777" w:rsidR="00A921D1" w:rsidRPr="00A921D1" w:rsidRDefault="00A921D1" w:rsidP="001040D4">
            <w:pPr>
              <w:jc w:val="both"/>
              <w:rPr>
                <w:rFonts w:ascii="Times New Roman" w:hAnsi="Times New Roman" w:cs="Times New Roman"/>
                <w:b/>
                <w:sz w:val="20"/>
                <w:szCs w:val="24"/>
              </w:rPr>
            </w:pPr>
            <w:r w:rsidRPr="00A921D1">
              <w:rPr>
                <w:rFonts w:ascii="Times New Roman" w:hAnsi="Times New Roman" w:cs="Times New Roman"/>
                <w:b/>
                <w:sz w:val="20"/>
                <w:szCs w:val="24"/>
              </w:rPr>
              <w:t>-</w:t>
            </w:r>
            <w:r w:rsidRPr="00A921D1">
              <w:rPr>
                <w:rFonts w:ascii="Times New Roman" w:hAnsi="Times New Roman" w:cs="Times New Roman"/>
                <w:b/>
                <w:sz w:val="20"/>
              </w:rPr>
              <w:t>Follow-up da effettuare presso ambulatori specialistici o presso MMG</w:t>
            </w:r>
          </w:p>
        </w:tc>
      </w:tr>
    </w:tbl>
    <w:p w14:paraId="6E11DB86" w14:textId="77777777" w:rsidR="00955A9B" w:rsidRPr="00955A9B" w:rsidRDefault="00955A9B" w:rsidP="00955A9B">
      <w:pPr>
        <w:spacing w:line="240" w:lineRule="auto"/>
        <w:rPr>
          <w:rFonts w:ascii="Times New Roman" w:hAnsi="Times New Roman" w:cs="Times New Roman"/>
          <w:szCs w:val="24"/>
        </w:rPr>
      </w:pPr>
    </w:p>
    <w:p w14:paraId="716D6116" w14:textId="31FED5EC" w:rsidR="004A3F31" w:rsidRPr="00955A9B" w:rsidRDefault="004A3F31" w:rsidP="004A3F31">
      <w:pPr>
        <w:spacing w:line="36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Tabella 17b</w:t>
      </w:r>
      <w:r w:rsidRPr="00955A9B">
        <w:rPr>
          <w:rFonts w:ascii="Times New Roman" w:eastAsia="Times New Roman" w:hAnsi="Times New Roman" w:cs="Times New Roman"/>
          <w:b/>
          <w:sz w:val="24"/>
          <w:szCs w:val="24"/>
        </w:rPr>
        <w:t xml:space="preserve">. Schedula di follow-up nei pazienti trattati per neoplasia </w:t>
      </w:r>
      <w:r>
        <w:rPr>
          <w:rFonts w:ascii="Times New Roman" w:eastAsia="Times New Roman" w:hAnsi="Times New Roman" w:cs="Times New Roman"/>
          <w:b/>
          <w:sz w:val="24"/>
          <w:szCs w:val="24"/>
        </w:rPr>
        <w:t xml:space="preserve">esofagea istologia </w:t>
      </w:r>
      <w:r w:rsidRPr="00955A9B">
        <w:rPr>
          <w:rFonts w:ascii="Times New Roman" w:hAnsi="Times New Roman" w:cs="Times New Roman"/>
          <w:noProof/>
          <w:sz w:val="24"/>
          <w:szCs w:val="24"/>
          <w:lang w:eastAsia="it-IT"/>
        </w:rPr>
        <mc:AlternateContent>
          <mc:Choice Requires="wps">
            <w:drawing>
              <wp:anchor distT="4294967294" distB="4294967294" distL="114300" distR="114300" simplePos="0" relativeHeight="251777024" behindDoc="1" locked="0" layoutInCell="1" allowOverlap="1" wp14:anchorId="5112A740" wp14:editId="53A72441">
                <wp:simplePos x="0" y="0"/>
                <wp:positionH relativeFrom="column">
                  <wp:posOffset>2540</wp:posOffset>
                </wp:positionH>
                <wp:positionV relativeFrom="paragraph">
                  <wp:posOffset>356234</wp:posOffset>
                </wp:positionV>
                <wp:extent cx="6115685" cy="0"/>
                <wp:effectExtent l="0" t="0" r="0" b="0"/>
                <wp:wrapNone/>
                <wp:docPr id="1124903950" name="Connettore dirit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5">
                          <a:solidFill>
                            <a:srgbClr val="7F7F7F"/>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B5847B" id="Connettore diritto 39" o:spid="_x0000_s1026" style="position:absolute;z-index:-251539456;visibility:visible;mso-wrap-style:square;mso-width-percent:0;mso-height-percent:0;mso-wrap-distance-left:9pt;mso-wrap-distance-top:.Cmm;mso-wrap-distance-right:9pt;mso-wrap-distance-bottom:.Cmm;mso-position-horizontal:absolute;mso-position-horizontal-relative:text;mso-position-vertical:absolute;mso-position-vertical-relative:text;mso-width-percent:0;mso-height-percent:0;mso-width-relative:page;mso-height-relative:page" from=".2pt,28.05pt" to="481.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" strokecolor="#7f7f7f" strokeweight=".16931mm"/>
            </w:pict>
          </mc:Fallback>
        </mc:AlternateContent>
      </w:r>
      <w:r>
        <w:rPr>
          <w:rFonts w:ascii="Times New Roman" w:eastAsia="Times New Roman" w:hAnsi="Times New Roman" w:cs="Times New Roman"/>
          <w:b/>
          <w:sz w:val="24"/>
          <w:szCs w:val="24"/>
        </w:rPr>
        <w:t>squamosa</w:t>
      </w:r>
    </w:p>
    <w:p w14:paraId="0C3277BD" w14:textId="77777777" w:rsidR="004A3F31" w:rsidRPr="00955A9B" w:rsidRDefault="004A3F31" w:rsidP="004A3F31">
      <w:pPr>
        <w:tabs>
          <w:tab w:val="left" w:pos="4060"/>
        </w:tabs>
        <w:spacing w:line="240" w:lineRule="auto"/>
        <w:ind w:left="2100"/>
        <w:rPr>
          <w:rFonts w:ascii="Times New Roman" w:eastAsia="Times New Roman" w:hAnsi="Times New Roman" w:cs="Times New Roman"/>
          <w:b/>
          <w:szCs w:val="24"/>
        </w:rPr>
      </w:pPr>
      <w:r>
        <w:rPr>
          <w:rFonts w:ascii="Times New Roman" w:eastAsia="Times New Roman" w:hAnsi="Times New Roman" w:cs="Times New Roman"/>
          <w:b/>
          <w:szCs w:val="24"/>
        </w:rPr>
        <w:t xml:space="preserve">                                   </w:t>
      </w:r>
      <w:r w:rsidRPr="00955A9B">
        <w:rPr>
          <w:rFonts w:ascii="Times New Roman" w:eastAsia="Times New Roman" w:hAnsi="Times New Roman" w:cs="Times New Roman"/>
          <w:b/>
          <w:szCs w:val="24"/>
        </w:rPr>
        <w:t>Timing</w:t>
      </w:r>
      <w:r w:rsidRPr="00955A9B">
        <w:rPr>
          <w:rFonts w:ascii="Times New Roman" w:eastAsia="Times New Roman" w:hAnsi="Times New Roman" w:cs="Times New Roman"/>
          <w:b/>
          <w:szCs w:val="24"/>
        </w:rPr>
        <w:tab/>
      </w:r>
      <w:r>
        <w:rPr>
          <w:rFonts w:ascii="Times New Roman" w:eastAsia="Times New Roman" w:hAnsi="Times New Roman" w:cs="Times New Roman"/>
          <w:b/>
          <w:szCs w:val="24"/>
        </w:rPr>
        <w:t xml:space="preserve">                                 </w:t>
      </w:r>
      <w:r w:rsidRPr="00955A9B">
        <w:rPr>
          <w:rFonts w:ascii="Times New Roman" w:eastAsia="Times New Roman" w:hAnsi="Times New Roman" w:cs="Times New Roman"/>
          <w:b/>
          <w:szCs w:val="24"/>
        </w:rPr>
        <w:t>Follow-up</w:t>
      </w:r>
      <w:r w:rsidRPr="00955A9B">
        <w:rPr>
          <w:rFonts w:ascii="Times New Roman" w:hAnsi="Times New Roman" w:cs="Times New Roman"/>
          <w:b/>
          <w:noProof/>
          <w:szCs w:val="24"/>
          <w:lang w:eastAsia="it-IT"/>
        </w:rPr>
        <mc:AlternateContent>
          <mc:Choice Requires="wps">
            <w:drawing>
              <wp:anchor distT="4294967294" distB="4294967294" distL="114300" distR="114300" simplePos="0" relativeHeight="251778048" behindDoc="1" locked="0" layoutInCell="1" allowOverlap="1" wp14:anchorId="4E26C1EE" wp14:editId="3FEAAC04">
                <wp:simplePos x="0" y="0"/>
                <wp:positionH relativeFrom="column">
                  <wp:posOffset>2540</wp:posOffset>
                </wp:positionH>
                <wp:positionV relativeFrom="paragraph">
                  <wp:posOffset>411479</wp:posOffset>
                </wp:positionV>
                <wp:extent cx="6115685" cy="0"/>
                <wp:effectExtent l="0" t="0" r="0" b="0"/>
                <wp:wrapNone/>
                <wp:docPr id="1130723189" name="Connettore dirit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6095">
                          <a:solidFill>
                            <a:srgbClr val="7F7F7F"/>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F1A0F9" id="Connettore diritto 50" o:spid="_x0000_s1026" style="position:absolute;z-index:-251538432;visibility:visible;mso-wrap-style:square;mso-width-percent:0;mso-height-percent:0;mso-wrap-distance-left:9pt;mso-wrap-distance-top:.Cmm;mso-wrap-distance-right:9pt;mso-wrap-distance-bottom:.Cmm;mso-position-horizontal:absolute;mso-position-horizontal-relative:text;mso-position-vertical:absolute;mso-position-vertical-relative:text;mso-width-percent:0;mso-height-percent:0;mso-width-relative:page;mso-height-relative:page" from=".2pt,32.4pt" to="481.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" strokecolor="#7f7f7f" strokeweight=".16931mm"/>
            </w:pict>
          </mc:Fallback>
        </mc:AlternateContent>
      </w:r>
    </w:p>
    <w:p w14:paraId="072852F9" w14:textId="77777777" w:rsidR="004A3F31" w:rsidRPr="00955A9B" w:rsidRDefault="004A3F31" w:rsidP="004A3F31">
      <w:pPr>
        <w:spacing w:line="240" w:lineRule="auto"/>
        <w:rPr>
          <w:rFonts w:ascii="Times New Roman" w:hAnsi="Times New Roman" w:cs="Times New Roman"/>
          <w:szCs w:val="24"/>
        </w:rPr>
      </w:pPr>
    </w:p>
    <w:tbl>
      <w:tblPr>
        <w:tblStyle w:val="Grigliatabella"/>
        <w:tblW w:w="0" w:type="auto"/>
        <w:tblLook w:val="04A0" w:firstRow="1" w:lastRow="0" w:firstColumn="1" w:lastColumn="0" w:noHBand="0" w:noVBand="1"/>
      </w:tblPr>
      <w:tblGrid>
        <w:gridCol w:w="3209"/>
        <w:gridCol w:w="3209"/>
        <w:gridCol w:w="3210"/>
      </w:tblGrid>
      <w:tr w:rsidR="004A3F31" w:rsidRPr="00A921D1" w14:paraId="516A15FA" w14:textId="77777777" w:rsidTr="00EF651F">
        <w:tc>
          <w:tcPr>
            <w:tcW w:w="3209" w:type="dxa"/>
          </w:tcPr>
          <w:p w14:paraId="3103CE9C" w14:textId="77777777" w:rsidR="004A3F31" w:rsidRPr="00A921D1" w:rsidRDefault="004A3F31" w:rsidP="00EF651F">
            <w:pPr>
              <w:rPr>
                <w:rFonts w:ascii="Times New Roman" w:hAnsi="Times New Roman" w:cs="Times New Roman"/>
                <w:b/>
                <w:sz w:val="20"/>
                <w:szCs w:val="24"/>
              </w:rPr>
            </w:pPr>
            <w:r w:rsidRPr="00A921D1">
              <w:rPr>
                <w:rFonts w:ascii="Times New Roman" w:hAnsi="Times New Roman" w:cs="Times New Roman"/>
                <w:b/>
                <w:sz w:val="20"/>
                <w:szCs w:val="24"/>
              </w:rPr>
              <w:t>0-2 anni</w:t>
            </w:r>
          </w:p>
        </w:tc>
        <w:tc>
          <w:tcPr>
            <w:tcW w:w="3209" w:type="dxa"/>
          </w:tcPr>
          <w:p w14:paraId="7A19FA54" w14:textId="77777777" w:rsidR="004A3F31" w:rsidRPr="00A921D1" w:rsidRDefault="004A3F31" w:rsidP="00EF651F">
            <w:pPr>
              <w:rPr>
                <w:rFonts w:ascii="Times New Roman" w:hAnsi="Times New Roman" w:cs="Times New Roman"/>
                <w:b/>
                <w:sz w:val="20"/>
                <w:szCs w:val="24"/>
              </w:rPr>
            </w:pPr>
            <w:r w:rsidRPr="00A921D1">
              <w:rPr>
                <w:rFonts w:ascii="Times New Roman" w:hAnsi="Times New Roman" w:cs="Times New Roman"/>
                <w:b/>
                <w:sz w:val="20"/>
                <w:szCs w:val="24"/>
              </w:rPr>
              <w:t>Ogni 3-4 mesi</w:t>
            </w:r>
          </w:p>
        </w:tc>
        <w:tc>
          <w:tcPr>
            <w:tcW w:w="3210" w:type="dxa"/>
          </w:tcPr>
          <w:p w14:paraId="51A5698B"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-Visita clinica</w:t>
            </w:r>
          </w:p>
          <w:p w14:paraId="51CECB18"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-Esami ematochimici</w:t>
            </w:r>
          </w:p>
          <w:p w14:paraId="05522A25" w14:textId="770AC6C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 xml:space="preserve">-EGDS ogni </w:t>
            </w:r>
            <w:r>
              <w:rPr>
                <w:rFonts w:ascii="Times New Roman" w:hAnsi="Times New Roman" w:cs="Times New Roman"/>
                <w:b/>
                <w:sz w:val="20"/>
                <w:szCs w:val="24"/>
              </w:rPr>
              <w:t>3 mesi per il primo anno poi ogni 6 mesi</w:t>
            </w:r>
            <w:r w:rsidRPr="00A921D1">
              <w:rPr>
                <w:rFonts w:ascii="Times New Roman" w:hAnsi="Times New Roman" w:cs="Times New Roman"/>
                <w:b/>
                <w:sz w:val="20"/>
                <w:szCs w:val="24"/>
              </w:rPr>
              <w:t xml:space="preserve">; TC total body con mdc ogni </w:t>
            </w:r>
            <w:r>
              <w:rPr>
                <w:rFonts w:ascii="Times New Roman" w:hAnsi="Times New Roman" w:cs="Times New Roman"/>
                <w:b/>
                <w:sz w:val="20"/>
                <w:szCs w:val="24"/>
              </w:rPr>
              <w:t>sei mesi</w:t>
            </w:r>
            <w:r w:rsidRPr="00A921D1">
              <w:rPr>
                <w:rFonts w:ascii="Times New Roman" w:hAnsi="Times New Roman" w:cs="Times New Roman"/>
                <w:b/>
                <w:sz w:val="20"/>
                <w:szCs w:val="24"/>
              </w:rPr>
              <w:t>; Ecografia addome ogni 6 mesi</w:t>
            </w:r>
          </w:p>
          <w:p w14:paraId="3C27796D"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-Esami strumentali da eseguire su necessità clinica</w:t>
            </w:r>
          </w:p>
        </w:tc>
      </w:tr>
      <w:tr w:rsidR="004A3F31" w:rsidRPr="00A921D1" w14:paraId="5A125C6F" w14:textId="77777777" w:rsidTr="00EF651F">
        <w:tc>
          <w:tcPr>
            <w:tcW w:w="3209" w:type="dxa"/>
          </w:tcPr>
          <w:p w14:paraId="6DD9E751" w14:textId="77777777" w:rsidR="004A3F31" w:rsidRPr="00A921D1" w:rsidRDefault="004A3F31" w:rsidP="00EF651F">
            <w:pPr>
              <w:rPr>
                <w:rFonts w:ascii="Times New Roman" w:hAnsi="Times New Roman" w:cs="Times New Roman"/>
                <w:b/>
                <w:sz w:val="20"/>
                <w:szCs w:val="24"/>
              </w:rPr>
            </w:pPr>
            <w:r w:rsidRPr="00A921D1">
              <w:rPr>
                <w:rFonts w:ascii="Times New Roman" w:hAnsi="Times New Roman" w:cs="Times New Roman"/>
                <w:b/>
                <w:sz w:val="20"/>
                <w:szCs w:val="24"/>
              </w:rPr>
              <w:t>3-5 anni</w:t>
            </w:r>
          </w:p>
        </w:tc>
        <w:tc>
          <w:tcPr>
            <w:tcW w:w="3209" w:type="dxa"/>
          </w:tcPr>
          <w:p w14:paraId="5B8C03E9" w14:textId="77777777" w:rsidR="004A3F31" w:rsidRPr="00A921D1" w:rsidRDefault="004A3F31" w:rsidP="00EF651F">
            <w:pPr>
              <w:rPr>
                <w:rFonts w:ascii="Times New Roman" w:hAnsi="Times New Roman" w:cs="Times New Roman"/>
                <w:b/>
                <w:sz w:val="20"/>
                <w:szCs w:val="24"/>
              </w:rPr>
            </w:pPr>
            <w:r w:rsidRPr="00A921D1">
              <w:rPr>
                <w:rFonts w:ascii="Times New Roman" w:hAnsi="Times New Roman" w:cs="Times New Roman"/>
                <w:b/>
                <w:sz w:val="20"/>
                <w:szCs w:val="24"/>
              </w:rPr>
              <w:t>Ogni 6 mesi</w:t>
            </w:r>
          </w:p>
        </w:tc>
        <w:tc>
          <w:tcPr>
            <w:tcW w:w="3210" w:type="dxa"/>
          </w:tcPr>
          <w:p w14:paraId="257EFAA8"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-Visita clinica</w:t>
            </w:r>
          </w:p>
          <w:p w14:paraId="1362BFEC"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-Esami ematochimici</w:t>
            </w:r>
          </w:p>
          <w:p w14:paraId="4E697FC0" w14:textId="593714A5"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 xml:space="preserve">-EGDS ogni </w:t>
            </w:r>
            <w:r>
              <w:rPr>
                <w:rFonts w:ascii="Times New Roman" w:hAnsi="Times New Roman" w:cs="Times New Roman"/>
                <w:b/>
                <w:sz w:val="20"/>
                <w:szCs w:val="24"/>
              </w:rPr>
              <w:t>6 mesi fino al III anno, poi ogni anno</w:t>
            </w:r>
            <w:r w:rsidRPr="00A921D1">
              <w:rPr>
                <w:rFonts w:ascii="Times New Roman" w:hAnsi="Times New Roman" w:cs="Times New Roman"/>
                <w:b/>
                <w:sz w:val="20"/>
                <w:szCs w:val="24"/>
              </w:rPr>
              <w:t xml:space="preserve">; TC total body con mdc ogni </w:t>
            </w:r>
            <w:r>
              <w:rPr>
                <w:rFonts w:ascii="Times New Roman" w:hAnsi="Times New Roman" w:cs="Times New Roman"/>
                <w:b/>
                <w:sz w:val="20"/>
                <w:szCs w:val="24"/>
              </w:rPr>
              <w:t>sei mesi fino al IV anno, poi annuale</w:t>
            </w:r>
            <w:r w:rsidRPr="00A921D1">
              <w:rPr>
                <w:rFonts w:ascii="Times New Roman" w:hAnsi="Times New Roman" w:cs="Times New Roman"/>
                <w:b/>
                <w:sz w:val="20"/>
                <w:szCs w:val="24"/>
              </w:rPr>
              <w:t>; Ecografia addome ogni 6 mesi</w:t>
            </w:r>
          </w:p>
          <w:p w14:paraId="4056B960"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-Esami strumentali da eseguire su necessità clinica</w:t>
            </w:r>
          </w:p>
        </w:tc>
      </w:tr>
      <w:tr w:rsidR="004A3F31" w:rsidRPr="00A921D1" w14:paraId="3BE165FE" w14:textId="77777777" w:rsidTr="00EF651F">
        <w:tc>
          <w:tcPr>
            <w:tcW w:w="3209" w:type="dxa"/>
          </w:tcPr>
          <w:p w14:paraId="0D70EFE2" w14:textId="77777777" w:rsidR="004A3F31" w:rsidRPr="00A921D1" w:rsidRDefault="004A3F31" w:rsidP="00EF651F">
            <w:pPr>
              <w:rPr>
                <w:rFonts w:ascii="Times New Roman" w:hAnsi="Times New Roman" w:cs="Times New Roman"/>
                <w:b/>
                <w:sz w:val="20"/>
                <w:szCs w:val="24"/>
              </w:rPr>
            </w:pPr>
            <w:r w:rsidRPr="00A921D1">
              <w:rPr>
                <w:rFonts w:ascii="Times New Roman" w:hAnsi="Times New Roman" w:cs="Times New Roman"/>
                <w:b/>
                <w:sz w:val="20"/>
                <w:szCs w:val="24"/>
              </w:rPr>
              <w:t>&gt;5 anni</w:t>
            </w:r>
          </w:p>
        </w:tc>
        <w:tc>
          <w:tcPr>
            <w:tcW w:w="3209" w:type="dxa"/>
          </w:tcPr>
          <w:p w14:paraId="40AF779C" w14:textId="77777777" w:rsidR="004A3F31" w:rsidRPr="00A921D1" w:rsidRDefault="004A3F31" w:rsidP="00EF651F">
            <w:pPr>
              <w:rPr>
                <w:rFonts w:ascii="Times New Roman" w:hAnsi="Times New Roman" w:cs="Times New Roman"/>
                <w:b/>
                <w:sz w:val="20"/>
                <w:szCs w:val="24"/>
              </w:rPr>
            </w:pPr>
            <w:r w:rsidRPr="00A921D1">
              <w:rPr>
                <w:rFonts w:ascii="Times New Roman" w:hAnsi="Times New Roman" w:cs="Times New Roman"/>
                <w:b/>
                <w:sz w:val="20"/>
                <w:szCs w:val="24"/>
              </w:rPr>
              <w:t>Ogni anno</w:t>
            </w:r>
          </w:p>
        </w:tc>
        <w:tc>
          <w:tcPr>
            <w:tcW w:w="3210" w:type="dxa"/>
          </w:tcPr>
          <w:p w14:paraId="268C7297"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-Esami strumentali da eseguire su necessità clinica</w:t>
            </w:r>
          </w:p>
          <w:p w14:paraId="7514D94D" w14:textId="77777777" w:rsidR="004A3F31" w:rsidRPr="00A921D1" w:rsidRDefault="004A3F31" w:rsidP="00EF651F">
            <w:pPr>
              <w:jc w:val="both"/>
              <w:rPr>
                <w:rFonts w:ascii="Times New Roman" w:hAnsi="Times New Roman" w:cs="Times New Roman"/>
                <w:b/>
                <w:sz w:val="20"/>
                <w:szCs w:val="24"/>
              </w:rPr>
            </w:pPr>
            <w:r w:rsidRPr="00A921D1">
              <w:rPr>
                <w:rFonts w:ascii="Times New Roman" w:hAnsi="Times New Roman" w:cs="Times New Roman"/>
                <w:b/>
                <w:sz w:val="20"/>
                <w:szCs w:val="24"/>
              </w:rPr>
              <w:t>-</w:t>
            </w:r>
            <w:r w:rsidRPr="00A921D1">
              <w:rPr>
                <w:rFonts w:ascii="Times New Roman" w:hAnsi="Times New Roman" w:cs="Times New Roman"/>
                <w:b/>
                <w:sz w:val="20"/>
              </w:rPr>
              <w:t>Follow-up da effettuare presso ambulatori specialistici o presso MMG</w:t>
            </w:r>
          </w:p>
        </w:tc>
      </w:tr>
    </w:tbl>
    <w:p w14:paraId="3E1F8BE8" w14:textId="77777777" w:rsidR="00955A9B" w:rsidRPr="00955A9B" w:rsidRDefault="00955A9B" w:rsidP="00955A9B">
      <w:pPr>
        <w:spacing w:line="240" w:lineRule="auto"/>
        <w:rPr>
          <w:rFonts w:ascii="Times New Roman" w:hAnsi="Times New Roman" w:cs="Times New Roman"/>
          <w:szCs w:val="24"/>
        </w:rPr>
      </w:pPr>
    </w:p>
    <w:p w14:paraId="7CD64E8C" w14:textId="6A49EA1D" w:rsidR="004A3F31" w:rsidRPr="00082046" w:rsidRDefault="004A3F31" w:rsidP="00A921D1">
      <w:pPr>
        <w:spacing w:line="240" w:lineRule="auto"/>
        <w:rPr>
          <w:rFonts w:ascii="Times New Roman" w:eastAsia="Times New Roman" w:hAnsi="Times New Roman" w:cs="Times New Roman"/>
          <w:bCs/>
          <w:sz w:val="24"/>
          <w:szCs w:val="24"/>
        </w:rPr>
      </w:pPr>
      <w:r w:rsidRPr="00082046">
        <w:rPr>
          <w:rFonts w:ascii="Times New Roman" w:eastAsia="Times New Roman" w:hAnsi="Times New Roman" w:cs="Times New Roman"/>
          <w:bCs/>
          <w:sz w:val="24"/>
          <w:szCs w:val="24"/>
        </w:rPr>
        <w:t>Nei pazie</w:t>
      </w:r>
      <w:r>
        <w:rPr>
          <w:rFonts w:ascii="Times New Roman" w:eastAsia="Times New Roman" w:hAnsi="Times New Roman" w:cs="Times New Roman"/>
          <w:bCs/>
          <w:sz w:val="24"/>
          <w:szCs w:val="24"/>
        </w:rPr>
        <w:t xml:space="preserve">nti sottoposti a CRT definitiva si consiglia EGDS ogni 3/6 mesi. </w:t>
      </w:r>
    </w:p>
    <w:p w14:paraId="0F6DD692" w14:textId="77777777" w:rsidR="004A3F31" w:rsidRDefault="004A3F31" w:rsidP="00A921D1">
      <w:pPr>
        <w:spacing w:line="240" w:lineRule="auto"/>
        <w:rPr>
          <w:rFonts w:ascii="Times New Roman" w:eastAsia="Times New Roman" w:hAnsi="Times New Roman" w:cs="Times New Roman"/>
          <w:b/>
          <w:sz w:val="24"/>
          <w:szCs w:val="24"/>
        </w:rPr>
      </w:pPr>
    </w:p>
    <w:p w14:paraId="6FA93249" w14:textId="5654588F" w:rsidR="00565415" w:rsidRPr="00A921D1" w:rsidRDefault="00565415" w:rsidP="00A921D1">
      <w:pPr>
        <w:spacing w:line="240" w:lineRule="auto"/>
        <w:rPr>
          <w:rFonts w:ascii="Times New Roman" w:eastAsia="Times New Roman" w:hAnsi="Times New Roman" w:cs="Times New Roman"/>
          <w:szCs w:val="24"/>
        </w:rPr>
      </w:pPr>
      <w:r w:rsidRPr="00955A9B">
        <w:rPr>
          <w:rFonts w:ascii="Times New Roman" w:eastAsia="Times New Roman" w:hAnsi="Times New Roman" w:cs="Times New Roman"/>
          <w:b/>
          <w:sz w:val="24"/>
          <w:szCs w:val="24"/>
        </w:rPr>
        <w:t>Tempi di presa in carico</w:t>
      </w:r>
    </w:p>
    <w:p w14:paraId="48FB1EAF" w14:textId="77777777" w:rsidR="00565415" w:rsidRPr="00955A9B" w:rsidRDefault="00565415" w:rsidP="00565415">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Il primo accesso al GOM per tumore esofageo avverrà tramite prenotazione effettuata dal MMG o altro medico specialista attraverso il sistema informatico della Rete Oncologica Campana</w:t>
      </w:r>
    </w:p>
    <w:p w14:paraId="64D4FA29" w14:textId="77777777" w:rsidR="00565415" w:rsidRPr="00955A9B" w:rsidRDefault="00565415" w:rsidP="00565415">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La prima visita da parte del GOM che prende in carico il paziente sarà erogata </w:t>
      </w:r>
      <w:r w:rsidRPr="00955A9B">
        <w:rPr>
          <w:rFonts w:ascii="Times New Roman" w:eastAsia="Times New Roman" w:hAnsi="Times New Roman" w:cs="Times New Roman"/>
          <w:b/>
          <w:sz w:val="24"/>
          <w:szCs w:val="24"/>
        </w:rPr>
        <w:t>entro 10 giorni</w:t>
      </w:r>
      <w:r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b/>
          <w:sz w:val="24"/>
          <w:szCs w:val="24"/>
        </w:rPr>
        <w:t>lavorativi</w:t>
      </w:r>
      <w:r w:rsidRPr="00955A9B">
        <w:rPr>
          <w:rFonts w:ascii="Times New Roman" w:eastAsia="Times New Roman" w:hAnsi="Times New Roman" w:cs="Times New Roman"/>
          <w:sz w:val="24"/>
          <w:szCs w:val="24"/>
        </w:rPr>
        <w:t>.</w:t>
      </w:r>
    </w:p>
    <w:p w14:paraId="598DE7E3" w14:textId="77777777" w:rsidR="00565415" w:rsidRPr="00955A9B" w:rsidRDefault="00565415" w:rsidP="00565415">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Il GOM si riunirà per la discussione dei casi clinici </w:t>
      </w:r>
      <w:r w:rsidRPr="00955A9B">
        <w:rPr>
          <w:rFonts w:ascii="Times New Roman" w:eastAsia="Times New Roman" w:hAnsi="Times New Roman" w:cs="Times New Roman"/>
          <w:b/>
          <w:sz w:val="24"/>
          <w:szCs w:val="24"/>
        </w:rPr>
        <w:t>almeno una volta a settimana</w:t>
      </w:r>
    </w:p>
    <w:p w14:paraId="3405C602" w14:textId="77777777" w:rsidR="00565415" w:rsidRPr="00955A9B" w:rsidRDefault="00565415" w:rsidP="00565415">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b/>
          <w:sz w:val="24"/>
          <w:szCs w:val="24"/>
        </w:rPr>
        <w:t xml:space="preserve">Entro ulteriori 15 giorni </w:t>
      </w:r>
      <w:r w:rsidRPr="00955A9B">
        <w:rPr>
          <w:rFonts w:ascii="Times New Roman" w:eastAsia="Times New Roman" w:hAnsi="Times New Roman" w:cs="Times New Roman"/>
          <w:sz w:val="24"/>
          <w:szCs w:val="24"/>
        </w:rPr>
        <w:t>dalla prima visita dovrà essere completata la stadiazione strumentale</w:t>
      </w:r>
      <w:r w:rsidRPr="00955A9B">
        <w:rPr>
          <w:rFonts w:ascii="Times New Roman" w:eastAsia="Times New Roman" w:hAnsi="Times New Roman" w:cs="Times New Roman"/>
          <w:b/>
          <w:sz w:val="24"/>
          <w:szCs w:val="24"/>
        </w:rPr>
        <w:t xml:space="preserve"> </w:t>
      </w:r>
      <w:r w:rsidRPr="00955A9B">
        <w:rPr>
          <w:rFonts w:ascii="Times New Roman" w:eastAsia="Times New Roman" w:hAnsi="Times New Roman" w:cs="Times New Roman"/>
          <w:sz w:val="24"/>
          <w:szCs w:val="24"/>
        </w:rPr>
        <w:t>del tumore, almeno per quanto attiente la prima TC stadiativa, qualora non già disponibile al momento della prima visita.</w:t>
      </w:r>
    </w:p>
    <w:p w14:paraId="5C8A0CB2" w14:textId="77777777" w:rsidR="00565415" w:rsidRPr="00955A9B" w:rsidRDefault="00565415" w:rsidP="00565415">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Qualora una diagnosi di certezza istologica non fosse stata eseguita prima della Presa in Carico da parte del GOM, l’intervento chirurgico laddove indicato sarà effettuato </w:t>
      </w:r>
      <w:r w:rsidRPr="00955A9B">
        <w:rPr>
          <w:rFonts w:ascii="Times New Roman" w:eastAsia="Times New Roman" w:hAnsi="Times New Roman" w:cs="Times New Roman"/>
          <w:b/>
          <w:sz w:val="24"/>
          <w:szCs w:val="24"/>
        </w:rPr>
        <w:t>entro i 30 giorni successivi</w:t>
      </w:r>
      <w:r w:rsidRPr="00955A9B">
        <w:rPr>
          <w:rFonts w:ascii="Times New Roman" w:eastAsia="Times New Roman" w:hAnsi="Times New Roman" w:cs="Times New Roman"/>
          <w:sz w:val="24"/>
          <w:szCs w:val="24"/>
        </w:rPr>
        <w:t xml:space="preserve"> alla visita multidisciplinare che ne avrà posto l’indicazione.</w:t>
      </w:r>
    </w:p>
    <w:p w14:paraId="3715FDED" w14:textId="77777777" w:rsidR="00565415" w:rsidRPr="00955A9B" w:rsidRDefault="00565415" w:rsidP="00565415">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Il referto istologico dovrà essere disponibile </w:t>
      </w:r>
      <w:r w:rsidRPr="00955A9B">
        <w:rPr>
          <w:rFonts w:ascii="Times New Roman" w:eastAsia="Times New Roman" w:hAnsi="Times New Roman" w:cs="Times New Roman"/>
          <w:b/>
          <w:sz w:val="24"/>
          <w:szCs w:val="24"/>
        </w:rPr>
        <w:t>entro 15 giorni dalle procedure bioptiche o</w:t>
      </w:r>
      <w:r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b/>
          <w:sz w:val="24"/>
          <w:szCs w:val="24"/>
        </w:rPr>
        <w:t>dall’intervento chirurgico.</w:t>
      </w:r>
    </w:p>
    <w:p w14:paraId="61BB5133" w14:textId="77777777" w:rsidR="00565415" w:rsidRPr="00955A9B" w:rsidRDefault="00565415" w:rsidP="00565415">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Il </w:t>
      </w:r>
      <w:r w:rsidRPr="00955A9B">
        <w:rPr>
          <w:rFonts w:ascii="Times New Roman" w:eastAsia="Times New Roman" w:hAnsi="Times New Roman" w:cs="Times New Roman"/>
          <w:i/>
          <w:sz w:val="24"/>
          <w:szCs w:val="24"/>
        </w:rPr>
        <w:t>Case Manager</w:t>
      </w:r>
      <w:r w:rsidRPr="00955A9B">
        <w:rPr>
          <w:rFonts w:ascii="Times New Roman" w:eastAsia="Times New Roman" w:hAnsi="Times New Roman" w:cs="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14:paraId="6A270524" w14:textId="77777777" w:rsidR="00565415" w:rsidRPr="00955A9B" w:rsidRDefault="00565415" w:rsidP="00565415">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Se la procedura diagnostica è condotta internamente al CORPUS, sarà cura del </w:t>
      </w:r>
      <w:r w:rsidRPr="00955A9B">
        <w:rPr>
          <w:rFonts w:ascii="Times New Roman" w:eastAsia="Times New Roman" w:hAnsi="Times New Roman" w:cs="Times New Roman"/>
          <w:i/>
          <w:sz w:val="24"/>
          <w:szCs w:val="24"/>
        </w:rPr>
        <w:t>Case Manager</w:t>
      </w:r>
      <w:r w:rsidRPr="00955A9B">
        <w:rPr>
          <w:rFonts w:ascii="Times New Roman" w:eastAsia="Times New Roman" w:hAnsi="Times New Roman" w:cs="Times New Roman"/>
          <w:sz w:val="24"/>
          <w:szCs w:val="24"/>
        </w:rPr>
        <w:t xml:space="preserve"> recuperare il referto e prenotare </w:t>
      </w:r>
      <w:r w:rsidRPr="00955A9B">
        <w:rPr>
          <w:rFonts w:ascii="Times New Roman" w:eastAsia="Times New Roman" w:hAnsi="Times New Roman" w:cs="Times New Roman"/>
          <w:b/>
          <w:sz w:val="24"/>
          <w:szCs w:val="24"/>
        </w:rPr>
        <w:t>entro 7 giorni</w:t>
      </w:r>
      <w:r w:rsidRPr="00955A9B">
        <w:rPr>
          <w:rFonts w:ascii="Times New Roman" w:eastAsia="Times New Roman" w:hAnsi="Times New Roman" w:cs="Times New Roman"/>
          <w:sz w:val="24"/>
          <w:szCs w:val="24"/>
        </w:rPr>
        <w:t xml:space="preserve"> dalla disponibilità del referto una nuova visita.</w:t>
      </w:r>
    </w:p>
    <w:p w14:paraId="75FD1A54" w14:textId="77777777" w:rsidR="00565415" w:rsidRPr="00955A9B" w:rsidRDefault="00565415" w:rsidP="00565415">
      <w:pPr>
        <w:numPr>
          <w:ilvl w:val="0"/>
          <w:numId w:val="3"/>
        </w:numPr>
        <w:tabs>
          <w:tab w:val="left" w:pos="367"/>
        </w:tabs>
        <w:spacing w:after="0" w:line="360" w:lineRule="auto"/>
        <w:ind w:left="367"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Al completamento della fase diagnostico-stadiativa il GOM definirà e programmerà il prosieguo del percorso clinico; se ritenuto opportuno il CORP/CORPUS farà riferimento alla Rete Oncologica per una </w:t>
      </w:r>
      <w:r w:rsidRPr="00955A9B">
        <w:rPr>
          <w:rFonts w:ascii="Times New Roman" w:eastAsia="Times New Roman" w:hAnsi="Times New Roman" w:cs="Times New Roman"/>
          <w:i/>
          <w:sz w:val="24"/>
          <w:szCs w:val="24"/>
        </w:rPr>
        <w:t>second opinion.</w:t>
      </w:r>
    </w:p>
    <w:p w14:paraId="09E80A12" w14:textId="77777777" w:rsidR="00565415" w:rsidRPr="00955A9B" w:rsidRDefault="00565415" w:rsidP="00565415">
      <w:pPr>
        <w:numPr>
          <w:ilvl w:val="0"/>
          <w:numId w:val="3"/>
        </w:numPr>
        <w:tabs>
          <w:tab w:val="left" w:pos="367"/>
        </w:tabs>
        <w:spacing w:after="0" w:line="360" w:lineRule="auto"/>
        <w:ind w:left="367" w:right="20" w:hanging="367"/>
        <w:jc w:val="both"/>
        <w:rPr>
          <w:rFonts w:ascii="Times New Roman" w:eastAsia="Wingdings" w:hAnsi="Times New Roman" w:cs="Times New Roman"/>
          <w:sz w:val="24"/>
          <w:szCs w:val="24"/>
          <w:vertAlign w:val="superscript"/>
        </w:rPr>
      </w:pPr>
      <w:r w:rsidRPr="00955A9B">
        <w:rPr>
          <w:rFonts w:ascii="Times New Roman" w:eastAsia="Times New Roman" w:hAnsi="Times New Roman" w:cs="Times New Roman"/>
          <w:sz w:val="24"/>
          <w:szCs w:val="24"/>
        </w:rPr>
        <w:t xml:space="preserve">L’inizio di un’eventuale chemioterapia o altra terapia sistemica prevista dovrà avvenire </w:t>
      </w:r>
      <w:r w:rsidRPr="00955A9B">
        <w:rPr>
          <w:rFonts w:ascii="Times New Roman" w:eastAsia="Times New Roman" w:hAnsi="Times New Roman" w:cs="Times New Roman"/>
          <w:b/>
          <w:sz w:val="24"/>
          <w:szCs w:val="24"/>
        </w:rPr>
        <w:t>entro</w:t>
      </w:r>
      <w:r w:rsidRPr="00955A9B">
        <w:rPr>
          <w:rFonts w:ascii="Times New Roman" w:eastAsia="Times New Roman" w:hAnsi="Times New Roman" w:cs="Times New Roman"/>
          <w:sz w:val="24"/>
          <w:szCs w:val="24"/>
        </w:rPr>
        <w:t xml:space="preserve"> </w:t>
      </w:r>
      <w:r w:rsidRPr="00955A9B">
        <w:rPr>
          <w:rFonts w:ascii="Times New Roman" w:eastAsia="Times New Roman" w:hAnsi="Times New Roman" w:cs="Times New Roman"/>
          <w:b/>
          <w:sz w:val="24"/>
          <w:szCs w:val="24"/>
        </w:rPr>
        <w:t>21 giorni dalla prima valutazione (ed entro 60 giorni dall’eventuale intervento chirurgico, attesi i tempi di recupero del paziente e le eventuali complicanze)</w:t>
      </w:r>
    </w:p>
    <w:p w14:paraId="5FB882D9" w14:textId="77777777" w:rsidR="00565415" w:rsidRDefault="00565415" w:rsidP="00565415">
      <w:pPr>
        <w:spacing w:line="360" w:lineRule="auto"/>
        <w:jc w:val="both"/>
        <w:rPr>
          <w:rFonts w:ascii="Times New Roman" w:eastAsiaTheme="minorEastAsia" w:hAnsi="Times New Roman" w:cs="Times New Roman"/>
          <w:b/>
          <w:bCs/>
          <w:sz w:val="24"/>
          <w:szCs w:val="24"/>
          <w:lang w:eastAsia="it-IT"/>
        </w:rPr>
      </w:pPr>
    </w:p>
    <w:p w14:paraId="05DD34CB" w14:textId="70E6C24A" w:rsidR="00565415" w:rsidRPr="00565415" w:rsidRDefault="00565415" w:rsidP="00565415">
      <w:pPr>
        <w:spacing w:line="360" w:lineRule="auto"/>
        <w:jc w:val="both"/>
        <w:rPr>
          <w:rFonts w:ascii="Times New Roman" w:eastAsiaTheme="minorEastAsia" w:hAnsi="Times New Roman" w:cs="Times New Roman"/>
          <w:b/>
          <w:bCs/>
          <w:sz w:val="24"/>
          <w:szCs w:val="24"/>
          <w:lang w:eastAsia="it-IT"/>
        </w:rPr>
      </w:pPr>
      <w:r w:rsidRPr="00565415">
        <w:rPr>
          <w:rFonts w:ascii="Times New Roman" w:eastAsiaTheme="minorEastAsia" w:hAnsi="Times New Roman" w:cs="Times New Roman"/>
          <w:b/>
          <w:bCs/>
          <w:sz w:val="24"/>
          <w:szCs w:val="24"/>
          <w:lang w:eastAsia="it-IT"/>
        </w:rPr>
        <w:t>CURE PALLIATIVE</w:t>
      </w:r>
    </w:p>
    <w:p w14:paraId="5D19F2CF"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 xml:space="preserve">La attivazione dei percorsi di cure palliative non è riservata esclusivamente ai pazienti in fase di terminalità. Il sistema della ROC intende seguire il modello della simultaneous care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  </w:t>
      </w:r>
    </w:p>
    <w:p w14:paraId="4784D3D4"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p>
    <w:p w14:paraId="4DBF43AE"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14:paraId="3D9457FB"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p>
    <w:p w14:paraId="7F0015FE"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I criteri generali per la definizione di malattia terminale sono:</w:t>
      </w:r>
    </w:p>
    <w:p w14:paraId="41589AFF"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w:t>
      </w:r>
      <w:r w:rsidRPr="005A2B27">
        <w:rPr>
          <w:rFonts w:ascii="Times New Roman" w:eastAsiaTheme="minorEastAsia" w:hAnsi="Times New Roman" w:cs="Times New Roman"/>
          <w:bCs/>
          <w:sz w:val="24"/>
          <w:szCs w:val="24"/>
          <w:lang w:eastAsia="it-IT"/>
        </w:rPr>
        <w:tab/>
        <w:t>Terapeutico: esaurimento/assenza o inutilità delle terapie oncologiche per la cura del tumore, o rifiuto da parte del malato.</w:t>
      </w:r>
    </w:p>
    <w:p w14:paraId="7F3F0DDC"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w:t>
      </w:r>
      <w:r w:rsidRPr="005A2B27">
        <w:rPr>
          <w:rFonts w:ascii="Times New Roman" w:eastAsiaTheme="minorEastAsia" w:hAnsi="Times New Roman" w:cs="Times New Roman"/>
          <w:bCs/>
          <w:sz w:val="24"/>
          <w:szCs w:val="24"/>
          <w:lang w:eastAsia="it-IT"/>
        </w:rPr>
        <w:tab/>
        <w:t>Clinico: presenza di un quadro clinico che comporta limitazioni dell’autonomia e un frequente bisogno di cure mediche, caratterizzato da un Indice di Karnofsky &lt; 50.</w:t>
      </w:r>
    </w:p>
    <w:p w14:paraId="3103C056"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w:t>
      </w:r>
      <w:r w:rsidRPr="005A2B27">
        <w:rPr>
          <w:rFonts w:ascii="Times New Roman" w:eastAsiaTheme="minorEastAsia" w:hAnsi="Times New Roman" w:cs="Times New Roman"/>
          <w:bCs/>
          <w:sz w:val="24"/>
          <w:szCs w:val="24"/>
          <w:lang w:eastAsia="it-IT"/>
        </w:rPr>
        <w:tab/>
        <w:t>Prognostico: previsione di sopravvivenza &lt; 6 mesi</w:t>
      </w:r>
    </w:p>
    <w:p w14:paraId="77F67031"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p>
    <w:p w14:paraId="443AF68B"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14:paraId="25111E52"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p>
    <w:p w14:paraId="1CC4F1E1" w14:textId="77777777" w:rsidR="005A2B27" w:rsidRPr="005A2B27" w:rsidRDefault="005A2B27" w:rsidP="005A2B27">
      <w:pPr>
        <w:spacing w:line="360" w:lineRule="auto"/>
        <w:jc w:val="both"/>
        <w:rPr>
          <w:rFonts w:ascii="Times New Roman" w:eastAsiaTheme="minorEastAsia" w:hAnsi="Times New Roman" w:cs="Times New Roman"/>
          <w:bCs/>
          <w:sz w:val="24"/>
          <w:szCs w:val="24"/>
          <w:lang w:eastAsia="it-IT"/>
        </w:rPr>
      </w:pPr>
      <w:r w:rsidRPr="005A2B27">
        <w:rPr>
          <w:rFonts w:ascii="Times New Roman" w:eastAsiaTheme="minorEastAsia" w:hAnsi="Times New Roman" w:cs="Times New Roman"/>
          <w:bCs/>
          <w:sz w:val="24"/>
          <w:szCs w:val="24"/>
          <w:lang w:eastAsia="it-IT"/>
        </w:rPr>
        <w:t xml:space="preserve">Per il presente PDTA si è tenuto conto delle più recenti linee guida nazionali (AIOM) ed </w:t>
      </w:r>
    </w:p>
    <w:p w14:paraId="23B3766F" w14:textId="4A800028" w:rsidR="00955A9B" w:rsidRPr="00955A9B" w:rsidRDefault="005A2B27" w:rsidP="005A2B27">
      <w:pPr>
        <w:spacing w:line="360" w:lineRule="auto"/>
        <w:jc w:val="both"/>
        <w:rPr>
          <w:rFonts w:ascii="Times New Roman" w:hAnsi="Times New Roman" w:cs="Times New Roman"/>
          <w:sz w:val="24"/>
          <w:szCs w:val="24"/>
        </w:rPr>
      </w:pPr>
      <w:r w:rsidRPr="005A2B27">
        <w:rPr>
          <w:rFonts w:ascii="Times New Roman" w:eastAsiaTheme="minorEastAsia" w:hAnsi="Times New Roman" w:cs="Times New Roman"/>
          <w:bCs/>
          <w:sz w:val="24"/>
          <w:szCs w:val="24"/>
          <w:lang w:eastAsia="it-IT"/>
        </w:rPr>
        <w:t>Internazionali (ESMO, NCCN).</w:t>
      </w:r>
    </w:p>
    <w:p w14:paraId="36D3554B"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Attivazione Hospice - piattaforma ROC</w:t>
      </w:r>
    </w:p>
    <w:p w14:paraId="647BF755" w14:textId="4F230F6C"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Calibri" w:hAnsi="Times New Roman" w:cs="Times New Roman"/>
          <w:sz w:val="24"/>
          <w:szCs w:val="24"/>
        </w:rPr>
        <w:t xml:space="preserve">Il case manager su indicazione medica può richiedere l’attivazione dell’Hospice tramite la piattaforma ROC.  La richiesta è rivolta non solo ai pazienti in ricovero ordinario ma anche ai pazienti day hospital ed ambulatoriali. </w:t>
      </w:r>
      <w:r w:rsidRPr="00955A9B">
        <w:rPr>
          <w:rFonts w:ascii="Times New Roman" w:eastAsia="Times New Roman" w:hAnsi="Times New Roman" w:cs="Times New Roman"/>
          <w:sz w:val="24"/>
          <w:szCs w:val="24"/>
          <w:lang w:eastAsia="it-IT"/>
        </w:rPr>
        <w:t>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w:t>
      </w:r>
      <w:r w:rsidRPr="00955A9B">
        <w:rPr>
          <w:rFonts w:ascii="Times New Roman" w:eastAsia="Calibri" w:hAnsi="Times New Roman" w:cs="Times New Roman"/>
          <w:sz w:val="24"/>
          <w:szCs w:val="24"/>
        </w:rPr>
        <w:t xml:space="preserve"> </w:t>
      </w:r>
      <w:r w:rsidR="00FF170E">
        <w:rPr>
          <w:rFonts w:ascii="Times New Roman" w:eastAsia="Times New Roman" w:hAnsi="Times New Roman" w:cs="Times New Roman"/>
          <w:sz w:val="24"/>
          <w:szCs w:val="24"/>
          <w:highlight w:val="yellow"/>
          <w:lang w:eastAsia="it-IT"/>
        </w:rPr>
        <w:t>Per il</w:t>
      </w:r>
      <w:r w:rsidRPr="006D5663">
        <w:rPr>
          <w:rFonts w:ascii="Times New Roman" w:eastAsia="Times New Roman" w:hAnsi="Times New Roman" w:cs="Times New Roman"/>
          <w:sz w:val="24"/>
          <w:szCs w:val="24"/>
          <w:highlight w:val="yellow"/>
          <w:lang w:eastAsia="it-IT"/>
        </w:rPr>
        <w:t xml:space="preserve"> 2022 si </w:t>
      </w:r>
      <w:r w:rsidR="00FF170E">
        <w:rPr>
          <w:rFonts w:ascii="Times New Roman" w:eastAsia="Times New Roman" w:hAnsi="Times New Roman" w:cs="Times New Roman"/>
          <w:sz w:val="24"/>
          <w:szCs w:val="24"/>
          <w:highlight w:val="yellow"/>
          <w:lang w:eastAsia="it-IT"/>
        </w:rPr>
        <w:t xml:space="preserve">è </w:t>
      </w:r>
      <w:r w:rsidRPr="006D5663">
        <w:rPr>
          <w:rFonts w:ascii="Times New Roman" w:eastAsia="Times New Roman" w:hAnsi="Times New Roman" w:cs="Times New Roman"/>
          <w:sz w:val="24"/>
          <w:szCs w:val="24"/>
          <w:highlight w:val="yellow"/>
          <w:lang w:eastAsia="it-IT"/>
        </w:rPr>
        <w:t>auspica</w:t>
      </w:r>
      <w:r w:rsidR="00FF170E">
        <w:rPr>
          <w:rFonts w:ascii="Times New Roman" w:eastAsia="Times New Roman" w:hAnsi="Times New Roman" w:cs="Times New Roman"/>
          <w:sz w:val="24"/>
          <w:szCs w:val="24"/>
          <w:highlight w:val="yellow"/>
          <w:lang w:eastAsia="it-IT"/>
        </w:rPr>
        <w:t>to</w:t>
      </w:r>
      <w:r w:rsidRPr="006D5663">
        <w:rPr>
          <w:rFonts w:ascii="Times New Roman" w:eastAsia="Times New Roman" w:hAnsi="Times New Roman" w:cs="Times New Roman"/>
          <w:sz w:val="24"/>
          <w:szCs w:val="24"/>
          <w:highlight w:val="yellow"/>
          <w:lang w:eastAsia="it-IT"/>
        </w:rPr>
        <w:t xml:space="preserve"> l’attivazione del Day</w:t>
      </w:r>
      <w:r w:rsidR="00FA50E1" w:rsidRPr="006D5663">
        <w:rPr>
          <w:rFonts w:ascii="Times New Roman" w:eastAsia="Times New Roman" w:hAnsi="Times New Roman" w:cs="Times New Roman"/>
          <w:sz w:val="24"/>
          <w:szCs w:val="24"/>
          <w:highlight w:val="yellow"/>
          <w:lang w:eastAsia="it-IT"/>
        </w:rPr>
        <w:t xml:space="preserve"> </w:t>
      </w:r>
      <w:r w:rsidRPr="006D5663">
        <w:rPr>
          <w:rFonts w:ascii="Times New Roman" w:eastAsia="Times New Roman" w:hAnsi="Times New Roman" w:cs="Times New Roman"/>
          <w:sz w:val="24"/>
          <w:szCs w:val="24"/>
          <w:highlight w:val="yellow"/>
          <w:lang w:eastAsia="it-IT"/>
        </w:rPr>
        <w:t>hospice</w:t>
      </w:r>
      <w:r w:rsidRPr="00955A9B">
        <w:rPr>
          <w:rFonts w:ascii="Times New Roman" w:eastAsia="Times New Roman" w:hAnsi="Times New Roman" w:cs="Times New Roman"/>
          <w:sz w:val="24"/>
          <w:szCs w:val="24"/>
          <w:lang w:eastAsia="it-IT"/>
        </w:rPr>
        <w:t xml:space="preserve"> </w:t>
      </w:r>
      <w:r w:rsidR="006D5663">
        <w:rPr>
          <w:rFonts w:ascii="Times New Roman" w:eastAsia="Times New Roman" w:hAnsi="Times New Roman" w:cs="Times New Roman"/>
          <w:sz w:val="24"/>
          <w:szCs w:val="24"/>
          <w:lang w:eastAsia="it-IT"/>
        </w:rPr>
        <w:t xml:space="preserve"> </w:t>
      </w:r>
      <w:r w:rsidR="006D5663" w:rsidRPr="006D5663">
        <w:rPr>
          <w:rFonts w:ascii="Times New Roman" w:eastAsia="Times New Roman" w:hAnsi="Times New Roman" w:cs="Times New Roman"/>
          <w:sz w:val="24"/>
          <w:szCs w:val="24"/>
          <w:highlight w:val="yellow"/>
          <w:lang w:eastAsia="it-IT"/>
        </w:rPr>
        <w:t>(è stato attivato?</w:t>
      </w:r>
      <w:r w:rsidR="006D5663">
        <w:rPr>
          <w:rFonts w:ascii="Times New Roman" w:eastAsia="Times New Roman" w:hAnsi="Times New Roman" w:cs="Times New Roman"/>
          <w:sz w:val="24"/>
          <w:szCs w:val="24"/>
          <w:highlight w:val="yellow"/>
          <w:lang w:eastAsia="it-IT"/>
        </w:rPr>
        <w:t>?</w:t>
      </w:r>
      <w:r w:rsidR="006D5663" w:rsidRPr="006D5663">
        <w:rPr>
          <w:rFonts w:ascii="Times New Roman" w:eastAsia="Times New Roman" w:hAnsi="Times New Roman" w:cs="Times New Roman"/>
          <w:sz w:val="24"/>
          <w:szCs w:val="24"/>
          <w:highlight w:val="yellow"/>
          <w:lang w:eastAsia="it-IT"/>
        </w:rPr>
        <w:t>)</w:t>
      </w:r>
    </w:p>
    <w:p w14:paraId="02CC76F6"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noProof/>
          <w:sz w:val="24"/>
          <w:szCs w:val="24"/>
          <w:lang w:eastAsia="it-IT"/>
        </w:rPr>
        <w:drawing>
          <wp:inline distT="0" distB="0" distL="0" distR="0" wp14:anchorId="01217D54" wp14:editId="7CD1A174">
            <wp:extent cx="6134100" cy="3124200"/>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4100" cy="3124200"/>
                    </a:xfrm>
                    <a:prstGeom prst="rect">
                      <a:avLst/>
                    </a:prstGeom>
                    <a:noFill/>
                    <a:ln>
                      <a:noFill/>
                    </a:ln>
                  </pic:spPr>
                </pic:pic>
              </a:graphicData>
            </a:graphic>
          </wp:inline>
        </w:drawing>
      </w:r>
    </w:p>
    <w:p w14:paraId="78FC713D"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sz w:val="24"/>
          <w:szCs w:val="24"/>
          <w:lang w:eastAsia="it-IT"/>
        </w:rPr>
      </w:pPr>
    </w:p>
    <w:p w14:paraId="65D2600B"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Procedura generale di funzionamento dei GOM</w:t>
      </w:r>
    </w:p>
    <w:p w14:paraId="52BB8479"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Times New Roman" w:hAnsi="Times New Roman" w:cs="Times New Roman"/>
          <w:b/>
          <w:sz w:val="24"/>
          <w:szCs w:val="24"/>
          <w:lang w:eastAsia="it-IT"/>
        </w:rPr>
        <w:t>Le attività del GOM</w:t>
      </w:r>
      <w:r w:rsidRPr="00955A9B">
        <w:rPr>
          <w:rFonts w:ascii="Times New Roman" w:eastAsia="Calibri" w:hAnsi="Times New Roman" w:cs="Times New Roman"/>
          <w:sz w:val="24"/>
          <w:szCs w:val="24"/>
        </w:rPr>
        <w:tab/>
      </w:r>
    </w:p>
    <w:p w14:paraId="7ED6072C"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14:paraId="73DE0E6E"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(DD n 221 del 23/06/2021 della Regione Campania). </w:t>
      </w:r>
    </w:p>
    <w:p w14:paraId="28DC7E16"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I pazienti che vengono discussi sono coloro che hanno una neoplasia con prima diagnosi o con sospetto diagnostico o che necessitano di ulteriori valutazioni nel corso dell’iter terapeutico.</w:t>
      </w:r>
    </w:p>
    <w:p w14:paraId="2DDDC9AA"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I GOM creano percorsi dedicati per i pazienti GOM che necessitano di valutazione diagnostica al fine di scegliere in breve tempo la miglior indicazione diagnostica-terapeutica.  </w:t>
      </w:r>
    </w:p>
    <w:p w14:paraId="308E5706"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Tra le varie attività del case manager su indicazione medica è possibile attivare l’Assistenza Domiciliare Integrata nelle fasi successive. </w:t>
      </w:r>
    </w:p>
    <w:p w14:paraId="5FAD59F8"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p>
    <w:p w14:paraId="369E87DC" w14:textId="0F1379D4" w:rsidR="00955A9B" w:rsidRPr="00955A9B" w:rsidRDefault="00955A9B" w:rsidP="00955A9B">
      <w:pPr>
        <w:spacing w:after="0" w:line="360" w:lineRule="auto"/>
        <w:ind w:right="226"/>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Percorso diagnostico per alcuni GOM</w:t>
      </w:r>
    </w:p>
    <w:p w14:paraId="7ACED9C3"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Alcuni GOM hanno organizzato degli slot per prestazioni diagnostiche ambulatoriali (con impegnativa) per i pazienti in valutazione GOM.</w:t>
      </w:r>
    </w:p>
    <w:p w14:paraId="6C84FBAF"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Le richieste vanno fatte solo dai case manager. Il case manager riceve la data e avverte il paziente. La responsabilità delle richieste è del responsabile del GOM.</w:t>
      </w:r>
    </w:p>
    <w:p w14:paraId="44B84D81" w14:textId="77777777" w:rsidR="00955A9B" w:rsidRPr="00955A9B" w:rsidRDefault="00955A9B" w:rsidP="00955A9B">
      <w:pPr>
        <w:spacing w:after="0" w:line="360" w:lineRule="auto"/>
        <w:ind w:right="226"/>
        <w:jc w:val="both"/>
        <w:rPr>
          <w:rFonts w:ascii="Times New Roman" w:eastAsia="Times New Roman" w:hAnsi="Times New Roman" w:cs="Times New Roman"/>
          <w:b/>
          <w:sz w:val="24"/>
          <w:szCs w:val="24"/>
          <w:lang w:eastAsia="it-IT"/>
        </w:rPr>
      </w:pPr>
    </w:p>
    <w:p w14:paraId="6D821B1D" w14:textId="77777777" w:rsidR="00955A9B" w:rsidRPr="00955A9B" w:rsidRDefault="00955A9B" w:rsidP="00955A9B">
      <w:pPr>
        <w:spacing w:after="0" w:line="360" w:lineRule="auto"/>
        <w:ind w:right="226"/>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Prenotazione diagnostica GOM sulla piattaforma</w:t>
      </w:r>
    </w:p>
    <w:p w14:paraId="33570BCA"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14:paraId="2D6C1FB9"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p>
    <w:p w14:paraId="2809BFCB" w14:textId="77777777" w:rsidR="00955A9B" w:rsidRPr="00955A9B" w:rsidRDefault="00955A9B" w:rsidP="00955A9B">
      <w:pPr>
        <w:spacing w:after="0" w:line="360" w:lineRule="auto"/>
        <w:ind w:right="226"/>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Primo contatto con il paziente</w:t>
      </w:r>
    </w:p>
    <w:p w14:paraId="190FA272" w14:textId="77777777" w:rsidR="00955A9B" w:rsidRPr="00955A9B" w:rsidRDefault="00955A9B" w:rsidP="00955A9B">
      <w:pPr>
        <w:spacing w:after="0" w:line="360" w:lineRule="auto"/>
        <w:ind w:right="226"/>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14:paraId="07D79EC6"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Times New Roman" w:hAnsi="Times New Roman" w:cs="Times New Roman"/>
          <w:sz w:val="24"/>
          <w:szCs w:val="24"/>
          <w:lang w:eastAsia="it-IT"/>
        </w:rPr>
        <w:t xml:space="preserve">L’invio del paziente ai GOM può avvenire a seguito di visita da parte di un medico del centro oncologico o direttamente da altri centri o dai medici del territorio. La visita sarà svolta entro sette giorni, </w:t>
      </w:r>
      <w:r w:rsidRPr="00955A9B">
        <w:rPr>
          <w:rFonts w:ascii="Times New Roman" w:eastAsia="Calibri" w:hAnsi="Times New Roman" w:cs="Times New Roman"/>
          <w:sz w:val="24"/>
          <w:szCs w:val="24"/>
        </w:rPr>
        <w:t>Il case manager prenota la visita e avvisa il paziente. Sarà cura del GOM indirizzare il paziente alla fase di percorso diagnostico-terapeutico appropriata, in base alla tipologia di neoplasia ed alla stadiazione.</w:t>
      </w:r>
    </w:p>
    <w:p w14:paraId="75F2BD9C"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p>
    <w:p w14:paraId="7C6105E6" w14:textId="77777777" w:rsidR="00955A9B" w:rsidRPr="00955A9B" w:rsidRDefault="00955A9B" w:rsidP="00955A9B">
      <w:pPr>
        <w:keepNext/>
        <w:spacing w:after="0" w:line="360" w:lineRule="auto"/>
        <w:jc w:val="both"/>
        <w:outlineLvl w:val="1"/>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
          <w:bCs/>
          <w:sz w:val="24"/>
          <w:szCs w:val="24"/>
          <w:lang w:eastAsia="it-IT"/>
        </w:rPr>
        <w:t>Presa in carico del paziente</w:t>
      </w:r>
    </w:p>
    <w:p w14:paraId="312C4F0D" w14:textId="77777777" w:rsidR="00955A9B" w:rsidRPr="00955A9B" w:rsidRDefault="00955A9B" w:rsidP="00955A9B">
      <w:pPr>
        <w:spacing w:after="0" w:line="360" w:lineRule="auto"/>
        <w:ind w:right="226"/>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 xml:space="preserve">La Presa in Carico del paziente nella sua globalità prevede l’integrazione di più professionisti </w:t>
      </w:r>
    </w:p>
    <w:p w14:paraId="0BE1815D" w14:textId="77777777" w:rsidR="00955A9B" w:rsidRPr="00955A9B" w:rsidRDefault="00955A9B" w:rsidP="00955A9B">
      <w:pPr>
        <w:spacing w:after="0" w:line="360" w:lineRule="auto"/>
        <w:ind w:right="226"/>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14:paraId="652C85E1" w14:textId="77777777" w:rsidR="00955A9B" w:rsidRPr="00955A9B" w:rsidRDefault="00955A9B" w:rsidP="00955A9B">
      <w:pPr>
        <w:spacing w:after="0" w:line="360" w:lineRule="auto"/>
        <w:ind w:right="226"/>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Il paziente effettuerà la prima visita necessaria per l’inquadramento del problema presso un ambulatorio dedicato entro 7 giorni dalla segnalazione.</w:t>
      </w:r>
    </w:p>
    <w:p w14:paraId="7818F24F" w14:textId="77777777" w:rsidR="00955A9B" w:rsidRPr="00955A9B" w:rsidRDefault="00955A9B" w:rsidP="00955A9B">
      <w:pPr>
        <w:spacing w:after="0" w:line="360" w:lineRule="auto"/>
        <w:ind w:right="226"/>
        <w:jc w:val="both"/>
        <w:rPr>
          <w:rFonts w:ascii="Times New Roman" w:eastAsia="Times New Roman" w:hAnsi="Times New Roman" w:cs="Times New Roman"/>
          <w:sz w:val="24"/>
          <w:szCs w:val="24"/>
          <w:lang w:eastAsia="it-IT"/>
        </w:rPr>
      </w:pPr>
    </w:p>
    <w:p w14:paraId="7014BE47" w14:textId="77777777" w:rsidR="00955A9B" w:rsidRPr="00955A9B" w:rsidRDefault="00955A9B" w:rsidP="00955A9B">
      <w:pPr>
        <w:keepNext/>
        <w:spacing w:after="0" w:line="360" w:lineRule="auto"/>
        <w:jc w:val="both"/>
        <w:outlineLvl w:val="1"/>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
          <w:bCs/>
          <w:sz w:val="24"/>
          <w:szCs w:val="24"/>
          <w:lang w:eastAsia="it-IT"/>
        </w:rPr>
        <w:t>La riunione multidisciplinare</w:t>
      </w:r>
    </w:p>
    <w:p w14:paraId="66D4941D" w14:textId="77777777" w:rsidR="00955A9B" w:rsidRPr="00955A9B" w:rsidRDefault="00955A9B" w:rsidP="00955A9B">
      <w:pPr>
        <w:spacing w:after="0" w:line="360" w:lineRule="auto"/>
        <w:ind w:right="226"/>
        <w:jc w:val="both"/>
        <w:rPr>
          <w:rFonts w:ascii="Times New Roman" w:eastAsia="Times New Roman" w:hAnsi="Times New Roman" w:cs="Times New Roman"/>
          <w:sz w:val="24"/>
          <w:szCs w:val="24"/>
          <w:lang w:eastAsia="it-IT"/>
        </w:rPr>
      </w:pPr>
      <w:r w:rsidRPr="00955A9B">
        <w:rPr>
          <w:rFonts w:ascii="Times New Roman" w:eastAsia="Calibri" w:hAnsi="Times New Roman" w:cs="Times New Roman"/>
          <w:sz w:val="24"/>
          <w:szCs w:val="24"/>
        </w:rP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14:paraId="04431327" w14:textId="77777777" w:rsidR="00955A9B" w:rsidRPr="00955A9B" w:rsidRDefault="00955A9B" w:rsidP="00955A9B">
      <w:pPr>
        <w:spacing w:after="0" w:line="360" w:lineRule="auto"/>
        <w:ind w:right="226"/>
        <w:jc w:val="both"/>
        <w:rPr>
          <w:rFonts w:ascii="Times New Roman" w:eastAsia="Times New Roman" w:hAnsi="Times New Roman" w:cs="Times New Roman"/>
          <w:sz w:val="24"/>
          <w:szCs w:val="24"/>
          <w:lang w:eastAsia="it-IT"/>
        </w:rPr>
      </w:pPr>
    </w:p>
    <w:p w14:paraId="1C4260E3" w14:textId="77777777" w:rsidR="00955A9B" w:rsidRPr="00955A9B" w:rsidRDefault="00955A9B" w:rsidP="00955A9B">
      <w:pPr>
        <w:keepNext/>
        <w:spacing w:after="0" w:line="360" w:lineRule="auto"/>
        <w:jc w:val="both"/>
        <w:outlineLvl w:val="1"/>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
          <w:bCs/>
          <w:sz w:val="24"/>
          <w:szCs w:val="24"/>
          <w:lang w:eastAsia="it-IT"/>
        </w:rPr>
        <w:t xml:space="preserve">Comunicazione al paziente </w:t>
      </w:r>
    </w:p>
    <w:p w14:paraId="398BB444"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14:paraId="3F8F5956" w14:textId="77777777" w:rsidR="00955A9B" w:rsidRPr="00955A9B" w:rsidRDefault="00955A9B" w:rsidP="00955A9B">
      <w:pPr>
        <w:spacing w:after="0" w:line="360" w:lineRule="auto"/>
        <w:ind w:right="226"/>
        <w:jc w:val="both"/>
        <w:rPr>
          <w:rFonts w:ascii="Times New Roman" w:eastAsia="Calibri" w:hAnsi="Times New Roman" w:cs="Times New Roman"/>
          <w:sz w:val="24"/>
          <w:szCs w:val="24"/>
        </w:rPr>
      </w:pPr>
    </w:p>
    <w:p w14:paraId="796320C4" w14:textId="77777777" w:rsidR="00955A9B" w:rsidRPr="00955A9B" w:rsidRDefault="00955A9B" w:rsidP="00955A9B">
      <w:pPr>
        <w:keepNext/>
        <w:spacing w:after="0" w:line="360" w:lineRule="auto"/>
        <w:jc w:val="both"/>
        <w:outlineLvl w:val="1"/>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
          <w:bCs/>
          <w:sz w:val="24"/>
          <w:szCs w:val="24"/>
          <w:lang w:eastAsia="it-IT"/>
        </w:rPr>
        <w:t>Verbali</w:t>
      </w:r>
    </w:p>
    <w:p w14:paraId="6AECE7F3" w14:textId="2F245E00" w:rsidR="00955A9B" w:rsidRPr="00955A9B" w:rsidRDefault="00955A9B" w:rsidP="00955A9B">
      <w:pPr>
        <w:tabs>
          <w:tab w:val="left" w:pos="1006"/>
        </w:tabs>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Il referto del GOM è un documento che attesta dopo la valutazione del gruppo multidisciplinare la miglior indicazione diagnostico-terapeutica. Il verbale è composto dall’anagrafica, patologie 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viene stampato e firmato dal coordinatore del GOM e dal case-manager). Il case manager dopo la conclusione carica il referto sulla piattaforma della Rete Oncologica Campana per renderli disponibili per i MMG e medici invianti </w:t>
      </w:r>
    </w:p>
    <w:p w14:paraId="1D8B5316" w14:textId="77777777" w:rsidR="00955A9B" w:rsidRPr="00955A9B" w:rsidRDefault="00955A9B" w:rsidP="00955A9B">
      <w:pPr>
        <w:keepNext/>
        <w:spacing w:after="0" w:line="360" w:lineRule="auto"/>
        <w:ind w:firstLine="708"/>
        <w:jc w:val="both"/>
        <w:outlineLvl w:val="1"/>
        <w:rPr>
          <w:rFonts w:ascii="Times New Roman" w:eastAsia="Times New Roman" w:hAnsi="Times New Roman" w:cs="Times New Roman"/>
          <w:b/>
          <w:sz w:val="24"/>
          <w:szCs w:val="24"/>
          <w:lang w:eastAsia="it-IT"/>
        </w:rPr>
      </w:pPr>
    </w:p>
    <w:p w14:paraId="04FF2593" w14:textId="77777777" w:rsidR="00955A9B" w:rsidRPr="00955A9B" w:rsidRDefault="00955A9B" w:rsidP="00955A9B">
      <w:pPr>
        <w:keepNext/>
        <w:spacing w:after="0" w:line="360" w:lineRule="auto"/>
        <w:jc w:val="both"/>
        <w:outlineLvl w:val="1"/>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
          <w:bCs/>
          <w:sz w:val="24"/>
          <w:szCs w:val="24"/>
          <w:lang w:eastAsia="it-IT"/>
        </w:rPr>
        <w:t>Chiusura scheda - piattaforma ROC</w:t>
      </w:r>
    </w:p>
    <w:p w14:paraId="4B511CD1"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14:paraId="01CB6269"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Aperta la schermata e selezionata la voce “chiusura” il case manager procede alla compilazione degli indicatori richiesti.</w:t>
      </w:r>
    </w:p>
    <w:p w14:paraId="728AF982"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b/>
          <w:sz w:val="24"/>
          <w:szCs w:val="24"/>
        </w:rPr>
        <w:t>Visita GOM:</w:t>
      </w:r>
      <w:r w:rsidRPr="00955A9B">
        <w:rPr>
          <w:rFonts w:ascii="Times New Roman" w:eastAsia="Calibri" w:hAnsi="Times New Roman" w:cs="Times New Roman"/>
          <w:sz w:val="24"/>
          <w:szCs w:val="24"/>
        </w:rPr>
        <w:t xml:space="preserve"> si intende la prima discussione multidisciplinare del paziente </w:t>
      </w:r>
    </w:p>
    <w:p w14:paraId="5892E63D"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b/>
          <w:sz w:val="24"/>
          <w:szCs w:val="24"/>
        </w:rPr>
        <w:t>Fine stadiazione:</w:t>
      </w:r>
      <w:r w:rsidRPr="00955A9B">
        <w:rPr>
          <w:rFonts w:ascii="Times New Roman" w:eastAsia="Calibri" w:hAnsi="Times New Roman" w:cs="Times New Roman"/>
          <w:sz w:val="24"/>
          <w:szCs w:val="24"/>
        </w:rPr>
        <w:t xml:space="preserve"> si inserisce la data di esami diagnostici richiesti dal GOM, se non sono stati richiesti esami la data della fine stadiazione corrisponde alla data della visita GOM.</w:t>
      </w:r>
    </w:p>
    <w:p w14:paraId="1697A63A"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b/>
          <w:sz w:val="24"/>
          <w:szCs w:val="24"/>
        </w:rPr>
        <w:t>Intervento chirurgico:</w:t>
      </w:r>
      <w:r w:rsidRPr="00955A9B">
        <w:rPr>
          <w:rFonts w:ascii="Times New Roman" w:eastAsia="Calibri" w:hAnsi="Times New Roman" w:cs="Times New Roman"/>
          <w:sz w:val="24"/>
          <w:szCs w:val="24"/>
        </w:rPr>
        <w:t xml:space="preserve"> è necessario compilarla solo con i pazienti con indicazione a chirurgia con la data dell’intervento.</w:t>
      </w:r>
    </w:p>
    <w:p w14:paraId="52D0C068"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b/>
          <w:sz w:val="24"/>
          <w:szCs w:val="24"/>
        </w:rPr>
        <w:t>Data completamento</w:t>
      </w:r>
      <w:r w:rsidRPr="00955A9B">
        <w:rPr>
          <w:rFonts w:ascii="Times New Roman" w:eastAsia="Calibri" w:hAnsi="Times New Roman" w:cs="Times New Roman"/>
          <w:sz w:val="24"/>
          <w:szCs w:val="24"/>
        </w:rPr>
        <w:t xml:space="preserve">: è la data dell’ultima visita GOM dove è stata decisa l’indicazione terapeutica. </w:t>
      </w:r>
    </w:p>
    <w:p w14:paraId="2D723E9B"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b/>
          <w:sz w:val="24"/>
          <w:szCs w:val="24"/>
        </w:rPr>
        <w:t>Tipi di completamento</w:t>
      </w:r>
      <w:r w:rsidRPr="00955A9B">
        <w:rPr>
          <w:rFonts w:ascii="Times New Roman" w:eastAsia="Calibri" w:hAnsi="Times New Roman" w:cs="Times New Roman"/>
          <w:sz w:val="24"/>
          <w:szCs w:val="24"/>
        </w:rPr>
        <w:t xml:space="preserve">: bisogna selezionare l’indicazione data tra i campi della piattaforma. Tipi di completamento sono: </w:t>
      </w:r>
      <w:r w:rsidRPr="00955A9B">
        <w:rPr>
          <w:rFonts w:ascii="Times New Roman" w:eastAsia="Calibri" w:hAnsi="Times New Roman" w:cs="Times New Roman"/>
          <w:b/>
          <w:sz w:val="24"/>
          <w:szCs w:val="24"/>
        </w:rPr>
        <w:t xml:space="preserve">Follow-up, Chemio, Radio, Chemio-Radio, Ormonoterapia, Immunoterapia, Target therapy, Chirurgia, Sorveglianza clinico-strumentale, Indicazione al percorso oncogenetico, Non indicazione al percorso oncogenetico, Terapia radiorecettoriale (PRRT) </w:t>
      </w:r>
      <w:r w:rsidRPr="00955A9B">
        <w:rPr>
          <w:rFonts w:ascii="Times New Roman" w:eastAsia="Calibri" w:hAnsi="Times New Roman" w:cs="Times New Roman"/>
          <w:sz w:val="24"/>
          <w:szCs w:val="24"/>
        </w:rPr>
        <w:t>e</w:t>
      </w:r>
      <w:r w:rsidRPr="00955A9B">
        <w:rPr>
          <w:rFonts w:ascii="Times New Roman" w:eastAsia="Calibri" w:hAnsi="Times New Roman" w:cs="Times New Roman"/>
          <w:b/>
          <w:sz w:val="24"/>
          <w:szCs w:val="24"/>
        </w:rPr>
        <w:t xml:space="preserve"> Ormonoterapia/Radioterapia</w:t>
      </w:r>
      <w:r w:rsidRPr="00955A9B">
        <w:rPr>
          <w:rFonts w:ascii="Times New Roman" w:eastAsia="Calibri" w:hAnsi="Times New Roman" w:cs="Times New Roman"/>
          <w:sz w:val="24"/>
          <w:szCs w:val="24"/>
        </w:rPr>
        <w:t>.</w:t>
      </w:r>
    </w:p>
    <w:p w14:paraId="12D89E92"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b/>
          <w:sz w:val="24"/>
          <w:szCs w:val="24"/>
        </w:rPr>
        <w:t>Data di inizio terapia:</w:t>
      </w:r>
      <w:r w:rsidRPr="00955A9B">
        <w:rPr>
          <w:rFonts w:ascii="Times New Roman" w:eastAsia="Calibri" w:hAnsi="Times New Roman" w:cs="Times New Roman"/>
          <w:sz w:val="24"/>
          <w:szCs w:val="24"/>
        </w:rPr>
        <w:t xml:space="preserve"> la data in cui i pazienti inizia il trattamento </w:t>
      </w:r>
    </w:p>
    <w:p w14:paraId="1B480DD9"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b/>
          <w:sz w:val="24"/>
          <w:szCs w:val="24"/>
        </w:rPr>
        <w:t>Data decesso</w:t>
      </w:r>
      <w:r w:rsidRPr="00955A9B">
        <w:rPr>
          <w:rFonts w:ascii="Times New Roman" w:eastAsia="Calibri" w:hAnsi="Times New Roman" w:cs="Times New Roman"/>
          <w:sz w:val="24"/>
          <w:szCs w:val="24"/>
        </w:rPr>
        <w:t>: la data del decesso del paziente avvenuta prima dell’indicazione del GOM.</w:t>
      </w:r>
    </w:p>
    <w:p w14:paraId="36480A43"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noProof/>
          <w:sz w:val="24"/>
          <w:szCs w:val="24"/>
          <w:lang w:eastAsia="it-IT"/>
        </w:rPr>
        <w:drawing>
          <wp:inline distT="0" distB="0" distL="0" distR="0" wp14:anchorId="112BEA36" wp14:editId="5CC4DD6D">
            <wp:extent cx="6105525" cy="3571875"/>
            <wp:effectExtent l="0" t="0" r="9525" b="952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3571875"/>
                    </a:xfrm>
                    <a:prstGeom prst="rect">
                      <a:avLst/>
                    </a:prstGeom>
                    <a:noFill/>
                    <a:ln>
                      <a:noFill/>
                    </a:ln>
                  </pic:spPr>
                </pic:pic>
              </a:graphicData>
            </a:graphic>
          </wp:inline>
        </w:drawing>
      </w:r>
    </w:p>
    <w:p w14:paraId="04BE6A4F"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p>
    <w:p w14:paraId="1801147F"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Calibri" w:hAnsi="Times New Roman" w:cs="Times New Roman"/>
          <w:sz w:val="24"/>
          <w:szCs w:val="24"/>
        </w:rPr>
        <w:t xml:space="preserve">Per chiudere la scheda dopo la compilazione degli indicatori di chiusura, è obbligatorio caricare nella Diagnosi di dimissione il referto della discussione GOM in formato pdf e solo dopo procedere alla chiusura della scheda.  </w:t>
      </w:r>
    </w:p>
    <w:p w14:paraId="7C7BFDA9" w14:textId="77777777" w:rsidR="00955A9B" w:rsidRPr="00955A9B" w:rsidRDefault="00955A9B" w:rsidP="00955A9B">
      <w:pPr>
        <w:keepNext/>
        <w:spacing w:after="0" w:line="360" w:lineRule="auto"/>
        <w:ind w:firstLine="708"/>
        <w:jc w:val="both"/>
        <w:outlineLvl w:val="1"/>
        <w:rPr>
          <w:rFonts w:ascii="Times New Roman" w:eastAsia="Times New Roman" w:hAnsi="Times New Roman" w:cs="Times New Roman"/>
          <w:b/>
          <w:sz w:val="24"/>
          <w:szCs w:val="24"/>
          <w:lang w:eastAsia="it-IT"/>
        </w:rPr>
      </w:pPr>
    </w:p>
    <w:p w14:paraId="3BBF3F12" w14:textId="77777777" w:rsidR="00955A9B" w:rsidRPr="00955A9B" w:rsidRDefault="00955A9B" w:rsidP="00955A9B">
      <w:pPr>
        <w:keepNext/>
        <w:spacing w:after="0" w:line="360" w:lineRule="auto"/>
        <w:jc w:val="both"/>
        <w:outlineLvl w:val="1"/>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
          <w:bCs/>
          <w:sz w:val="24"/>
          <w:szCs w:val="24"/>
          <w:lang w:eastAsia="it-IT"/>
        </w:rPr>
        <w:t>Continuità territoriale, Attivazione ADI attraverso la piattaforma ROC</w:t>
      </w:r>
    </w:p>
    <w:p w14:paraId="32E366FD"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14:paraId="58F2BC65"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 xml:space="preserve">In accordo con le sette ASL è stata inserita un’unica scheda dei servizi, che include le informazioni cliniche del paziente e le prestazioni richieste, così da facilitare e migliorare la presa in carico del Territorio. </w:t>
      </w:r>
    </w:p>
    <w:p w14:paraId="73324947"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14:paraId="6B3219C8" w14:textId="77777777" w:rsidR="00955A9B" w:rsidRPr="00955A9B" w:rsidRDefault="00955A9B" w:rsidP="00955A9B">
      <w:pPr>
        <w:spacing w:after="0" w:line="360" w:lineRule="auto"/>
        <w:jc w:val="both"/>
        <w:rPr>
          <w:rFonts w:ascii="Times New Roman" w:eastAsia="Calibri" w:hAnsi="Times New Roman" w:cs="Times New Roman"/>
          <w:sz w:val="24"/>
          <w:szCs w:val="24"/>
        </w:rPr>
      </w:pPr>
      <w:r w:rsidRPr="00955A9B">
        <w:rPr>
          <w:rFonts w:ascii="Times New Roman" w:eastAsia="Calibri" w:hAnsi="Times New Roman" w:cs="Times New Roman"/>
          <w:sz w:val="24"/>
          <w:szCs w:val="24"/>
        </w:rPr>
        <w:t>Tramite la piattaforma il GOM richiedente ha la possibilità di verificare la effettiva avvenuta presa in carico dal Territorio.  Il MMG inviante al GOM riceverà informativa attraverso la stessa piattaforma.</w:t>
      </w:r>
    </w:p>
    <w:p w14:paraId="7C140A8F"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sz w:val="24"/>
          <w:szCs w:val="24"/>
          <w:lang w:eastAsia="it-IT"/>
        </w:rPr>
      </w:pPr>
    </w:p>
    <w:p w14:paraId="27E6085C"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p>
    <w:p w14:paraId="3EDB875D"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bCs/>
          <w:sz w:val="24"/>
          <w:szCs w:val="24"/>
          <w:lang w:eastAsia="it-IT"/>
        </w:rPr>
      </w:pPr>
      <w:r w:rsidRPr="00955A9B">
        <w:rPr>
          <w:rFonts w:ascii="Times New Roman" w:eastAsia="Times New Roman" w:hAnsi="Times New Roman" w:cs="Times New Roman"/>
          <w:b/>
          <w:noProof/>
          <w:sz w:val="24"/>
          <w:szCs w:val="24"/>
          <w:lang w:eastAsia="it-IT"/>
        </w:rPr>
        <w:drawing>
          <wp:inline distT="0" distB="0" distL="0" distR="0" wp14:anchorId="076F8734" wp14:editId="5CA278E1">
            <wp:extent cx="5619750" cy="4238625"/>
            <wp:effectExtent l="0" t="0" r="0" b="952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4238625"/>
                    </a:xfrm>
                    <a:prstGeom prst="rect">
                      <a:avLst/>
                    </a:prstGeom>
                    <a:noFill/>
                    <a:ln>
                      <a:noFill/>
                    </a:ln>
                  </pic:spPr>
                </pic:pic>
              </a:graphicData>
            </a:graphic>
          </wp:inline>
        </w:drawing>
      </w:r>
    </w:p>
    <w:p w14:paraId="06E4E1BE"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bCs/>
          <w:sz w:val="24"/>
          <w:szCs w:val="24"/>
          <w:lang w:eastAsia="it-IT"/>
        </w:rPr>
      </w:pPr>
    </w:p>
    <w:p w14:paraId="15B4D92B"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bCs/>
          <w:sz w:val="24"/>
          <w:szCs w:val="24"/>
          <w:lang w:eastAsia="it-IT"/>
        </w:rPr>
      </w:pPr>
      <w:r w:rsidRPr="00955A9B">
        <w:rPr>
          <w:rFonts w:ascii="Times New Roman" w:eastAsia="Times New Roman" w:hAnsi="Times New Roman" w:cs="Times New Roman"/>
          <w:b/>
          <w:noProof/>
          <w:sz w:val="24"/>
          <w:szCs w:val="24"/>
          <w:lang w:eastAsia="it-IT"/>
        </w:rPr>
        <w:drawing>
          <wp:inline distT="0" distB="0" distL="0" distR="0" wp14:anchorId="60044945" wp14:editId="1F7BCDBC">
            <wp:extent cx="5305425" cy="4076700"/>
            <wp:effectExtent l="0" t="0" r="9525"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4076700"/>
                    </a:xfrm>
                    <a:prstGeom prst="rect">
                      <a:avLst/>
                    </a:prstGeom>
                    <a:noFill/>
                    <a:ln>
                      <a:noFill/>
                    </a:ln>
                  </pic:spPr>
                </pic:pic>
              </a:graphicData>
            </a:graphic>
          </wp:inline>
        </w:drawing>
      </w:r>
    </w:p>
    <w:p w14:paraId="55FC015D"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bCs/>
          <w:sz w:val="24"/>
          <w:szCs w:val="24"/>
          <w:lang w:eastAsia="it-IT"/>
        </w:rPr>
      </w:pPr>
    </w:p>
    <w:p w14:paraId="3FCD3636"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bCs/>
          <w:sz w:val="24"/>
          <w:szCs w:val="24"/>
          <w:lang w:eastAsia="it-IT"/>
        </w:rPr>
      </w:pPr>
      <w:r w:rsidRPr="00955A9B">
        <w:rPr>
          <w:rFonts w:ascii="Times New Roman" w:eastAsia="Times New Roman" w:hAnsi="Times New Roman" w:cs="Times New Roman"/>
          <w:b/>
          <w:noProof/>
          <w:sz w:val="24"/>
          <w:szCs w:val="24"/>
          <w:lang w:eastAsia="it-IT"/>
        </w:rPr>
        <w:drawing>
          <wp:inline distT="0" distB="0" distL="0" distR="0" wp14:anchorId="6B906DD3" wp14:editId="1ED23143">
            <wp:extent cx="5648325" cy="3819525"/>
            <wp:effectExtent l="0" t="0" r="9525" b="952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3819525"/>
                    </a:xfrm>
                    <a:prstGeom prst="rect">
                      <a:avLst/>
                    </a:prstGeom>
                    <a:noFill/>
                    <a:ln>
                      <a:noFill/>
                    </a:ln>
                  </pic:spPr>
                </pic:pic>
              </a:graphicData>
            </a:graphic>
          </wp:inline>
        </w:drawing>
      </w:r>
    </w:p>
    <w:p w14:paraId="3EA57EE6" w14:textId="77777777" w:rsidR="00955A9B" w:rsidRPr="00955A9B" w:rsidRDefault="00955A9B" w:rsidP="00955A9B">
      <w:pPr>
        <w:tabs>
          <w:tab w:val="left" w:pos="1055"/>
        </w:tabs>
        <w:spacing w:after="0" w:line="360" w:lineRule="auto"/>
        <w:jc w:val="both"/>
        <w:rPr>
          <w:rFonts w:ascii="Times New Roman" w:eastAsia="Times New Roman" w:hAnsi="Times New Roman" w:cs="Times New Roman"/>
          <w:b/>
          <w:bCs/>
          <w:sz w:val="24"/>
          <w:szCs w:val="24"/>
          <w:lang w:eastAsia="it-IT"/>
        </w:rPr>
      </w:pPr>
    </w:p>
    <w:p w14:paraId="6E0209C1" w14:textId="77777777" w:rsidR="00955A9B" w:rsidRPr="00955A9B" w:rsidRDefault="00955A9B" w:rsidP="00955A9B">
      <w:pPr>
        <w:spacing w:line="360" w:lineRule="auto"/>
        <w:jc w:val="both"/>
        <w:rPr>
          <w:rFonts w:ascii="Times New Roman" w:hAnsi="Times New Roman" w:cs="Times New Roman"/>
          <w:b/>
          <w:sz w:val="24"/>
          <w:szCs w:val="24"/>
        </w:rPr>
      </w:pPr>
    </w:p>
    <w:p w14:paraId="5F3D26E6" w14:textId="762A0F01" w:rsidR="00955A9B" w:rsidRPr="00955A9B" w:rsidRDefault="00955A9B" w:rsidP="00955A9B">
      <w:pPr>
        <w:spacing w:line="360" w:lineRule="auto"/>
        <w:jc w:val="both"/>
        <w:rPr>
          <w:rFonts w:ascii="Times New Roman" w:hAnsi="Times New Roman" w:cs="Times New Roman"/>
          <w:b/>
          <w:sz w:val="24"/>
          <w:szCs w:val="24"/>
        </w:rPr>
      </w:pPr>
      <w:r w:rsidRPr="00955A9B">
        <w:rPr>
          <w:rFonts w:ascii="Times New Roman" w:hAnsi="Times New Roman" w:cs="Times New Roman"/>
          <w:b/>
          <w:sz w:val="24"/>
          <w:szCs w:val="24"/>
        </w:rPr>
        <w:t>Rete Cardioncolog</w:t>
      </w:r>
      <w:r w:rsidR="00F14136">
        <w:rPr>
          <w:rFonts w:ascii="Times New Roman" w:hAnsi="Times New Roman" w:cs="Times New Roman"/>
          <w:b/>
          <w:sz w:val="24"/>
          <w:szCs w:val="24"/>
        </w:rPr>
        <w:t>i</w:t>
      </w:r>
      <w:r w:rsidRPr="00955A9B">
        <w:rPr>
          <w:rFonts w:ascii="Times New Roman" w:hAnsi="Times New Roman" w:cs="Times New Roman"/>
          <w:b/>
          <w:sz w:val="24"/>
          <w:szCs w:val="24"/>
        </w:rPr>
        <w:t>ca (CardioROC)</w:t>
      </w:r>
    </w:p>
    <w:p w14:paraId="480A3413"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Nella piattaforma ROC è stato attivato il servizio di valutazione cardiologica per i pazienti oncologici a grave rischio cardiologico.</w:t>
      </w:r>
    </w:p>
    <w:p w14:paraId="4A7C93AB" w14:textId="5ED15106"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La rete di cardiologi ha ricevuto le credenziali ROC per accedere al nuovo servizio di valutazione. La richiesta di consulenza cardiologica può essere inoltrata dal medico oncologo o case manager del GOM di interesse tramite la compilazione di una scheda (</w:t>
      </w:r>
      <w:r w:rsidR="00836B7B">
        <w:rPr>
          <w:rFonts w:ascii="Times New Roman" w:hAnsi="Times New Roman" w:cs="Times New Roman"/>
          <w:b/>
          <w:sz w:val="24"/>
          <w:szCs w:val="24"/>
        </w:rPr>
        <w:t>Figura 4</w:t>
      </w:r>
      <w:r w:rsidRPr="00955A9B">
        <w:rPr>
          <w:rFonts w:ascii="Times New Roman" w:hAnsi="Times New Roman" w:cs="Times New Roman"/>
          <w:sz w:val="24"/>
          <w:szCs w:val="24"/>
        </w:rPr>
        <w:t>). Possono essere segnalati solo i pazienti con importanti fattori di rischio cardiovascolare o precedenti eventi cardiovascolari che possono condizionare la scelta del trattamento oncologico.</w:t>
      </w:r>
    </w:p>
    <w:p w14:paraId="516C3889" w14:textId="7323D833"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Il cardiologo prenderà in carico la scheda del paziente GOM entro sette giorni dalla segnalazione e procederà al consulto cardiologico, compilando la specifica scheda di presa in carico e allegando la propria relazione (</w:t>
      </w:r>
      <w:r w:rsidR="00836B7B">
        <w:rPr>
          <w:rFonts w:ascii="Times New Roman" w:hAnsi="Times New Roman" w:cs="Times New Roman"/>
          <w:b/>
          <w:sz w:val="24"/>
          <w:szCs w:val="24"/>
        </w:rPr>
        <w:t>Figura 5</w:t>
      </w:r>
      <w:r w:rsidRPr="00955A9B">
        <w:rPr>
          <w:rFonts w:ascii="Times New Roman" w:hAnsi="Times New Roman" w:cs="Times New Roman"/>
          <w:sz w:val="24"/>
          <w:szCs w:val="24"/>
        </w:rPr>
        <w:t xml:space="preserve">). </w:t>
      </w:r>
    </w:p>
    <w:p w14:paraId="3FC1C4FF"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noProof/>
          <w:sz w:val="24"/>
          <w:szCs w:val="24"/>
          <w:lang w:eastAsia="it-IT"/>
        </w:rPr>
        <w:drawing>
          <wp:inline distT="0" distB="0" distL="0" distR="0" wp14:anchorId="00B8A9B1" wp14:editId="47529051">
            <wp:extent cx="6120130" cy="5136515"/>
            <wp:effectExtent l="95250" t="95250" r="109220" b="12128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136515"/>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AF53B1" w14:textId="13E835EC" w:rsidR="00955A9B" w:rsidRPr="00955A9B" w:rsidRDefault="00836B7B" w:rsidP="00955A9B">
      <w:pPr>
        <w:spacing w:line="360" w:lineRule="auto"/>
        <w:jc w:val="both"/>
        <w:rPr>
          <w:rFonts w:ascii="Times New Roman" w:hAnsi="Times New Roman" w:cs="Times New Roman"/>
          <w:sz w:val="24"/>
          <w:szCs w:val="24"/>
        </w:rPr>
      </w:pPr>
      <w:r>
        <w:rPr>
          <w:rFonts w:ascii="Times New Roman" w:hAnsi="Times New Roman" w:cs="Times New Roman"/>
          <w:b/>
          <w:sz w:val="24"/>
          <w:szCs w:val="24"/>
        </w:rPr>
        <w:t>Figura 4</w:t>
      </w:r>
    </w:p>
    <w:p w14:paraId="6C2A53BD" w14:textId="77777777" w:rsidR="00955A9B" w:rsidRPr="00955A9B" w:rsidRDefault="00955A9B" w:rsidP="00955A9B">
      <w:pPr>
        <w:spacing w:line="360" w:lineRule="auto"/>
        <w:jc w:val="both"/>
        <w:rPr>
          <w:rFonts w:ascii="Times New Roman" w:hAnsi="Times New Roman" w:cs="Times New Roman"/>
          <w:b/>
          <w:sz w:val="24"/>
          <w:szCs w:val="24"/>
        </w:rPr>
      </w:pPr>
      <w:r w:rsidRPr="00955A9B">
        <w:rPr>
          <w:rFonts w:ascii="Times New Roman" w:hAnsi="Times New Roman" w:cs="Times New Roman"/>
          <w:noProof/>
          <w:sz w:val="24"/>
          <w:szCs w:val="24"/>
          <w:lang w:eastAsia="it-IT"/>
        </w:rPr>
        <w:drawing>
          <wp:inline distT="0" distB="0" distL="0" distR="0" wp14:anchorId="457742ED" wp14:editId="0B4F58B1">
            <wp:extent cx="6120130" cy="5472430"/>
            <wp:effectExtent l="95250" t="95250" r="90170" b="12827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472430"/>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DB5A78" w14:textId="5AA46E6F" w:rsidR="00955A9B" w:rsidRPr="00955A9B" w:rsidRDefault="00836B7B" w:rsidP="00955A9B">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Figura 5</w:t>
      </w:r>
    </w:p>
    <w:p w14:paraId="302A7B25" w14:textId="77777777" w:rsidR="00955A9B" w:rsidRPr="00955A9B" w:rsidRDefault="00955A9B" w:rsidP="00955A9B">
      <w:pPr>
        <w:spacing w:line="360" w:lineRule="auto"/>
        <w:jc w:val="both"/>
        <w:rPr>
          <w:rFonts w:ascii="Times New Roman" w:eastAsia="Calibri" w:hAnsi="Times New Roman" w:cs="Times New Roman"/>
          <w:b/>
          <w:sz w:val="24"/>
          <w:szCs w:val="24"/>
        </w:rPr>
      </w:pPr>
    </w:p>
    <w:p w14:paraId="68C31434" w14:textId="77777777" w:rsidR="00955A9B" w:rsidRPr="00955A9B" w:rsidRDefault="00955A9B" w:rsidP="00955A9B">
      <w:pPr>
        <w:spacing w:line="360" w:lineRule="auto"/>
        <w:jc w:val="both"/>
        <w:rPr>
          <w:rFonts w:ascii="Times New Roman" w:eastAsia="Calibri" w:hAnsi="Times New Roman" w:cs="Times New Roman"/>
          <w:b/>
          <w:sz w:val="24"/>
          <w:szCs w:val="24"/>
        </w:rPr>
      </w:pPr>
      <w:r w:rsidRPr="00955A9B">
        <w:rPr>
          <w:rFonts w:ascii="Times New Roman" w:eastAsia="Calibri" w:hAnsi="Times New Roman" w:cs="Times New Roman"/>
          <w:b/>
          <w:sz w:val="24"/>
          <w:szCs w:val="24"/>
        </w:rPr>
        <w:t xml:space="preserve">Valutazione per Trial Clinico </w:t>
      </w:r>
    </w:p>
    <w:p w14:paraId="1EEAFFF6" w14:textId="77777777" w:rsidR="00955A9B" w:rsidRPr="00955A9B" w:rsidRDefault="00955A9B" w:rsidP="00955A9B">
      <w:pPr>
        <w:tabs>
          <w:tab w:val="left" w:pos="1134"/>
        </w:tabs>
        <w:spacing w:after="0" w:line="360" w:lineRule="auto"/>
        <w:ind w:right="-1"/>
        <w:jc w:val="both"/>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Cs/>
          <w:sz w:val="24"/>
          <w:szCs w:val="24"/>
          <w:lang w:eastAsia="it-IT"/>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955A9B">
        <w:rPr>
          <w:rFonts w:ascii="Times New Roman" w:eastAsia="Times New Roman" w:hAnsi="Times New Roman" w:cs="Times New Roman"/>
          <w:sz w:val="24"/>
          <w:szCs w:val="24"/>
          <w:lang w:val="x-none" w:eastAsia="it-IT"/>
        </w:rPr>
        <w:t xml:space="preserve"> </w:t>
      </w:r>
      <w:r w:rsidRPr="00955A9B">
        <w:rPr>
          <w:rFonts w:ascii="Times New Roman" w:eastAsia="Times New Roman" w:hAnsi="Times New Roman" w:cs="Times New Roman"/>
          <w:b/>
          <w:bCs/>
          <w:i/>
          <w:sz w:val="24"/>
          <w:szCs w:val="24"/>
          <w:lang w:eastAsia="it-IT"/>
        </w:rPr>
        <w:t>Trial Clinico</w:t>
      </w:r>
      <w:r w:rsidRPr="00955A9B">
        <w:rPr>
          <w:rFonts w:ascii="Times New Roman" w:eastAsia="Times New Roman" w:hAnsi="Times New Roman" w:cs="Times New Roman"/>
          <w:bCs/>
          <w:sz w:val="24"/>
          <w:szCs w:val="24"/>
          <w:lang w:eastAsia="it-IT"/>
        </w:rPr>
        <w:t>.</w:t>
      </w:r>
    </w:p>
    <w:p w14:paraId="386A3784" w14:textId="77777777" w:rsidR="00955A9B" w:rsidRPr="00955A9B" w:rsidRDefault="00955A9B" w:rsidP="00955A9B">
      <w:pPr>
        <w:tabs>
          <w:tab w:val="left" w:pos="1134"/>
        </w:tabs>
        <w:spacing w:after="0" w:line="360" w:lineRule="auto"/>
        <w:ind w:right="-1"/>
        <w:jc w:val="both"/>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Cs/>
          <w:sz w:val="24"/>
          <w:szCs w:val="24"/>
          <w:lang w:eastAsia="it-IT"/>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14:paraId="5DE090CD" w14:textId="77777777" w:rsidR="00955A9B" w:rsidRPr="00955A9B" w:rsidRDefault="00955A9B" w:rsidP="00955A9B">
      <w:pPr>
        <w:tabs>
          <w:tab w:val="left" w:pos="1134"/>
        </w:tabs>
        <w:spacing w:after="0" w:line="360" w:lineRule="auto"/>
        <w:ind w:right="-1"/>
        <w:jc w:val="both"/>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Cs/>
          <w:sz w:val="24"/>
          <w:szCs w:val="24"/>
          <w:lang w:eastAsia="it-IT"/>
        </w:rPr>
        <w:t xml:space="preserve">La richiesta del GOM avviene con la compilazione di una scheda di segnalazione ed allegando il verbale del GOM. </w:t>
      </w:r>
    </w:p>
    <w:p w14:paraId="0B1FFE1D" w14:textId="77777777" w:rsidR="00955A9B" w:rsidRPr="00955A9B" w:rsidRDefault="00955A9B" w:rsidP="00955A9B">
      <w:pPr>
        <w:tabs>
          <w:tab w:val="left" w:pos="1134"/>
        </w:tabs>
        <w:spacing w:after="0" w:line="360" w:lineRule="auto"/>
        <w:ind w:right="-1"/>
        <w:jc w:val="both"/>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Cs/>
          <w:sz w:val="24"/>
          <w:szCs w:val="24"/>
          <w:lang w:eastAsia="it-IT"/>
        </w:rPr>
        <w:t>Nella scheda i campi richiesti sono:</w:t>
      </w:r>
    </w:p>
    <w:p w14:paraId="656458C1" w14:textId="77777777" w:rsidR="00955A9B" w:rsidRPr="00955A9B" w:rsidRDefault="00955A9B" w:rsidP="00955A9B">
      <w:pPr>
        <w:numPr>
          <w:ilvl w:val="0"/>
          <w:numId w:val="7"/>
        </w:numPr>
        <w:tabs>
          <w:tab w:val="left" w:pos="1134"/>
        </w:tabs>
        <w:spacing w:after="0" w:line="360" w:lineRule="auto"/>
        <w:ind w:right="-1"/>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Il n° linee di trattamento precedenti</w:t>
      </w:r>
    </w:p>
    <w:p w14:paraId="55ADC31F" w14:textId="77777777" w:rsidR="00955A9B" w:rsidRPr="00955A9B" w:rsidRDefault="00955A9B" w:rsidP="00955A9B">
      <w:pPr>
        <w:numPr>
          <w:ilvl w:val="0"/>
          <w:numId w:val="7"/>
        </w:numPr>
        <w:tabs>
          <w:tab w:val="left" w:pos="1134"/>
        </w:tabs>
        <w:spacing w:after="0" w:line="360" w:lineRule="auto"/>
        <w:ind w:right="-1"/>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Le condizioni cliniche del paziente (performance status ECOG)</w:t>
      </w:r>
    </w:p>
    <w:p w14:paraId="06236265" w14:textId="77777777" w:rsidR="00955A9B" w:rsidRPr="00955A9B" w:rsidRDefault="00955A9B" w:rsidP="00955A9B">
      <w:pPr>
        <w:numPr>
          <w:ilvl w:val="0"/>
          <w:numId w:val="7"/>
        </w:numPr>
        <w:tabs>
          <w:tab w:val="left" w:pos="1134"/>
        </w:tabs>
        <w:spacing w:after="0" w:line="360" w:lineRule="auto"/>
        <w:ind w:right="-1"/>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Eventuali comorbidità</w:t>
      </w:r>
    </w:p>
    <w:p w14:paraId="16825FE9" w14:textId="77777777" w:rsidR="00955A9B" w:rsidRPr="00955A9B" w:rsidRDefault="00955A9B" w:rsidP="00955A9B">
      <w:pPr>
        <w:numPr>
          <w:ilvl w:val="0"/>
          <w:numId w:val="7"/>
        </w:numPr>
        <w:tabs>
          <w:tab w:val="left" w:pos="1134"/>
        </w:tabs>
        <w:spacing w:after="0" w:line="360" w:lineRule="auto"/>
        <w:ind w:right="-1"/>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Candidabile ad una terapia standard.  (il case manager che lo prende in carico per l'eventuale trial, nel caso di impossibilità ad arruolarlo, rinvia il paziente al centro di provenienza.</w:t>
      </w:r>
    </w:p>
    <w:p w14:paraId="22A62F5C" w14:textId="77777777" w:rsidR="00955A9B" w:rsidRPr="00955A9B" w:rsidRDefault="00955A9B" w:rsidP="00955A9B">
      <w:pPr>
        <w:numPr>
          <w:ilvl w:val="0"/>
          <w:numId w:val="7"/>
        </w:numPr>
        <w:tabs>
          <w:tab w:val="left" w:pos="1134"/>
        </w:tabs>
        <w:spacing w:after="0" w:line="360" w:lineRule="auto"/>
        <w:ind w:right="-1"/>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 xml:space="preserve">Metastasi cerebrali </w:t>
      </w:r>
    </w:p>
    <w:p w14:paraId="5C739B5C" w14:textId="77777777" w:rsidR="00955A9B" w:rsidRPr="00955A9B" w:rsidRDefault="00955A9B" w:rsidP="00955A9B">
      <w:pPr>
        <w:numPr>
          <w:ilvl w:val="0"/>
          <w:numId w:val="7"/>
        </w:numPr>
        <w:tabs>
          <w:tab w:val="left" w:pos="1134"/>
        </w:tabs>
        <w:spacing w:after="0" w:line="360" w:lineRule="auto"/>
        <w:ind w:right="-1"/>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Disponibile NGS (se è già noto lo stato di MSI e/o altri "target")</w:t>
      </w:r>
    </w:p>
    <w:p w14:paraId="5A1C0870" w14:textId="77777777" w:rsidR="00955A9B" w:rsidRPr="00955A9B" w:rsidRDefault="00955A9B" w:rsidP="00955A9B">
      <w:pPr>
        <w:tabs>
          <w:tab w:val="left" w:pos="1134"/>
        </w:tabs>
        <w:spacing w:after="0" w:line="360" w:lineRule="auto"/>
        <w:ind w:right="-1"/>
        <w:jc w:val="both"/>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Cs/>
          <w:sz w:val="24"/>
          <w:szCs w:val="24"/>
          <w:lang w:eastAsia="it-IT"/>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14:paraId="007C9FBC" w14:textId="412A0055" w:rsidR="00955A9B" w:rsidRPr="00955A9B" w:rsidRDefault="00955A9B" w:rsidP="00955A9B">
      <w:pPr>
        <w:tabs>
          <w:tab w:val="left" w:pos="1134"/>
        </w:tabs>
        <w:spacing w:after="0" w:line="360" w:lineRule="auto"/>
        <w:ind w:right="-1"/>
        <w:jc w:val="both"/>
        <w:rPr>
          <w:rFonts w:ascii="Times New Roman" w:eastAsia="Times New Roman" w:hAnsi="Times New Roman" w:cs="Times New Roman"/>
          <w:bCs/>
          <w:sz w:val="24"/>
          <w:szCs w:val="24"/>
          <w:lang w:eastAsia="it-IT"/>
        </w:rPr>
      </w:pPr>
      <w:r w:rsidRPr="00955A9B">
        <w:rPr>
          <w:rFonts w:ascii="Times New Roman" w:eastAsia="Times New Roman" w:hAnsi="Times New Roman" w:cs="Times New Roman"/>
          <w:b/>
          <w:sz w:val="24"/>
          <w:szCs w:val="24"/>
          <w:lang w:eastAsia="it-IT"/>
        </w:rPr>
        <w:t xml:space="preserve">I </w:t>
      </w:r>
      <w:r w:rsidRPr="00955A9B">
        <w:rPr>
          <w:rFonts w:ascii="Times New Roman" w:eastAsia="Times New Roman" w:hAnsi="Times New Roman" w:cs="Times New Roman"/>
          <w:b/>
          <w:sz w:val="24"/>
          <w:szCs w:val="24"/>
          <w:lang w:val="x-none" w:eastAsia="it-IT"/>
        </w:rPr>
        <w:t xml:space="preserve">Centri </w:t>
      </w:r>
      <w:r w:rsidRPr="00955A9B">
        <w:rPr>
          <w:rFonts w:ascii="Times New Roman" w:eastAsia="Times New Roman" w:hAnsi="Times New Roman" w:cs="Times New Roman"/>
          <w:b/>
          <w:sz w:val="24"/>
          <w:szCs w:val="24"/>
          <w:lang w:eastAsia="it-IT"/>
        </w:rPr>
        <w:t xml:space="preserve">di Fase I </w:t>
      </w:r>
      <w:r w:rsidRPr="00955A9B">
        <w:rPr>
          <w:rFonts w:ascii="Times New Roman" w:eastAsia="Times New Roman" w:hAnsi="Times New Roman" w:cs="Times New Roman"/>
          <w:bCs/>
          <w:sz w:val="24"/>
          <w:szCs w:val="24"/>
          <w:lang w:eastAsia="it-IT"/>
        </w:rPr>
        <w:t>sono</w:t>
      </w:r>
      <w:r w:rsidRPr="00955A9B">
        <w:rPr>
          <w:rFonts w:ascii="Times New Roman" w:eastAsia="Times New Roman" w:hAnsi="Times New Roman" w:cs="Times New Roman"/>
          <w:b/>
          <w:sz w:val="24"/>
          <w:szCs w:val="24"/>
          <w:lang w:eastAsia="it-IT"/>
        </w:rPr>
        <w:t>:</w:t>
      </w:r>
      <w:r w:rsidRPr="00955A9B">
        <w:rPr>
          <w:rFonts w:ascii="Times New Roman" w:eastAsia="Times New Roman" w:hAnsi="Times New Roman" w:cs="Times New Roman"/>
          <w:bCs/>
          <w:sz w:val="24"/>
          <w:szCs w:val="24"/>
          <w:lang w:eastAsia="it-IT"/>
        </w:rPr>
        <w:t xml:space="preserve"> A.O.U. Federico II, I.N.T. Fondazione G. Pascale e A.O.U. Vanvitelli</w:t>
      </w:r>
      <w:r w:rsidR="002D4818">
        <w:rPr>
          <w:rFonts w:ascii="Times New Roman" w:eastAsia="Times New Roman" w:hAnsi="Times New Roman" w:cs="Times New Roman"/>
          <w:bCs/>
          <w:sz w:val="24"/>
          <w:szCs w:val="24"/>
          <w:lang w:eastAsia="it-IT"/>
        </w:rPr>
        <w:t>.</w:t>
      </w:r>
    </w:p>
    <w:p w14:paraId="4808AA1E" w14:textId="77777777" w:rsidR="00955A9B" w:rsidRPr="00955A9B" w:rsidRDefault="00955A9B" w:rsidP="00955A9B">
      <w:pPr>
        <w:tabs>
          <w:tab w:val="left" w:pos="1134"/>
        </w:tabs>
        <w:spacing w:after="0" w:line="360" w:lineRule="auto"/>
        <w:ind w:right="-1"/>
        <w:jc w:val="both"/>
        <w:rPr>
          <w:rFonts w:ascii="Times New Roman" w:eastAsia="Times New Roman" w:hAnsi="Times New Roman" w:cs="Times New Roman"/>
          <w:bCs/>
          <w:sz w:val="24"/>
          <w:szCs w:val="24"/>
          <w:lang w:eastAsia="it-IT"/>
        </w:rPr>
      </w:pPr>
    </w:p>
    <w:p w14:paraId="0F730AEF" w14:textId="77777777" w:rsidR="00955A9B" w:rsidRPr="00955A9B" w:rsidRDefault="00955A9B" w:rsidP="00955A9B">
      <w:pPr>
        <w:spacing w:after="0" w:line="360" w:lineRule="auto"/>
        <w:jc w:val="both"/>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Procedura per attivazione della valutazione da parte dei Molecular Tumor Board</w:t>
      </w:r>
    </w:p>
    <w:p w14:paraId="4B771D15" w14:textId="77777777" w:rsidR="00955A9B" w:rsidRPr="00955A9B" w:rsidRDefault="00955A9B" w:rsidP="00955A9B">
      <w:pPr>
        <w:spacing w:after="0" w:line="360" w:lineRule="auto"/>
        <w:jc w:val="both"/>
        <w:rPr>
          <w:rFonts w:ascii="Times New Roman" w:eastAsia="Times New Roman" w:hAnsi="Times New Roman" w:cs="Times New Roman"/>
          <w:b/>
          <w:sz w:val="24"/>
          <w:szCs w:val="24"/>
          <w:lang w:eastAsia="it-IT"/>
        </w:rPr>
      </w:pPr>
    </w:p>
    <w:p w14:paraId="33A3998D" w14:textId="77777777" w:rsidR="00955A9B" w:rsidRPr="00955A9B" w:rsidRDefault="00955A9B" w:rsidP="00955A9B">
      <w:pPr>
        <w:tabs>
          <w:tab w:val="left" w:pos="9356"/>
        </w:tabs>
        <w:spacing w:after="0" w:line="360" w:lineRule="auto"/>
        <w:ind w:right="466"/>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 xml:space="preserve">La attività degli MTB regionali si inserisce nella esistente organizzazione della </w:t>
      </w:r>
      <w:r w:rsidRPr="00955A9B">
        <w:rPr>
          <w:rFonts w:ascii="Times New Roman" w:eastAsia="Times New Roman" w:hAnsi="Times New Roman" w:cs="Times New Roman"/>
          <w:b/>
          <w:sz w:val="24"/>
          <w:szCs w:val="24"/>
          <w:lang w:eastAsia="it-IT"/>
        </w:rPr>
        <w:t>Rete Oncologica Campana (ROC)</w:t>
      </w:r>
      <w:r w:rsidRPr="00955A9B">
        <w:rPr>
          <w:rFonts w:ascii="Times New Roman" w:eastAsia="Times New Roman" w:hAnsi="Times New Roman" w:cs="Times New Roman"/>
          <w:sz w:val="24"/>
          <w:szCs w:val="24"/>
          <w:lang w:eastAsia="it-IT"/>
        </w:rPr>
        <w:t xml:space="preserve">, strutturata sulle valutazioni dei Gruppi Oncologici Multidisciplinari (GOM) e sulle connessioni ospedale territorio. </w:t>
      </w:r>
    </w:p>
    <w:p w14:paraId="264697C8" w14:textId="77777777" w:rsidR="00955A9B" w:rsidRPr="00955A9B" w:rsidRDefault="00955A9B" w:rsidP="00955A9B">
      <w:pPr>
        <w:tabs>
          <w:tab w:val="left" w:pos="9356"/>
        </w:tabs>
        <w:spacing w:after="0" w:line="360" w:lineRule="auto"/>
        <w:ind w:right="466"/>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 xml:space="preserve">I GOM Aziendali e Interaziendali istituiti presso </w:t>
      </w:r>
      <w:r w:rsidRPr="00955A9B">
        <w:rPr>
          <w:rFonts w:ascii="Times New Roman" w:eastAsia="Times New Roman" w:hAnsi="Times New Roman" w:cs="Times New Roman"/>
          <w:b/>
          <w:sz w:val="24"/>
          <w:szCs w:val="24"/>
          <w:lang w:eastAsia="it-IT"/>
        </w:rPr>
        <w:t xml:space="preserve">CORP E CORPUS della ROC </w:t>
      </w:r>
      <w:r w:rsidRPr="00955A9B">
        <w:rPr>
          <w:rFonts w:ascii="Times New Roman" w:eastAsia="Times New Roman" w:hAnsi="Times New Roman" w:cs="Times New Roman"/>
          <w:sz w:val="24"/>
          <w:szCs w:val="24"/>
          <w:lang w:eastAsia="it-IT"/>
        </w:rPr>
        <w:t xml:space="preserve">possono richiedere la valutazione da parte del MTB di riferimento, adottando i criteri stabiliti di accesso alla valutazione. La richiesta del GOM avviene con la compilazione di una scheda di segnalazione in piattaforma ROC ed allegando il verbale del GOM. Il centro deve compilare una scheda/richiesta informatizzata presente nella piattaforma ROC che riporti i parametri che consentono di individuare le caratteristiche del paziente (Tale scheda viene completata dal MTB al termine della valutazione molecolare. Il sistema di richiesta e presa in carico segue i meccanismi già in uso nella piattaforma per le attività dei GOM. Nella piattaforma viene registrata l’eventuale esecuzione del test e il risultato della valutazione con l’eventuale trattamento identificato sulla base della valutazione molecolare. Tale sistema consentirà una rendicontazione delle attività degli MTB, con cadenza bimestrale, come per tutte le altre attività della ROC. </w:t>
      </w:r>
    </w:p>
    <w:p w14:paraId="7D399A29" w14:textId="77777777" w:rsidR="00955A9B" w:rsidRPr="00955A9B" w:rsidRDefault="00955A9B" w:rsidP="00955A9B">
      <w:pPr>
        <w:tabs>
          <w:tab w:val="left" w:pos="9356"/>
        </w:tabs>
        <w:spacing w:after="0" w:line="360" w:lineRule="auto"/>
        <w:ind w:right="466"/>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b/>
          <w:bCs/>
          <w:sz w:val="24"/>
          <w:szCs w:val="24"/>
          <w:lang w:eastAsia="it-IT"/>
        </w:rPr>
        <w:t xml:space="preserve">I centri MTB in Regione attualmente attivi </w:t>
      </w:r>
      <w:r w:rsidRPr="00955A9B">
        <w:rPr>
          <w:rFonts w:ascii="Times New Roman" w:eastAsia="Times New Roman" w:hAnsi="Times New Roman" w:cs="Times New Roman"/>
          <w:sz w:val="24"/>
          <w:szCs w:val="24"/>
          <w:lang w:eastAsia="it-IT"/>
        </w:rPr>
        <w:t>sono: Cardarelli, INT Pascale, AOU Federico II, AOU Vanvitelli, AOU Ruggi d’Aragona e Moscati (Avellino).</w:t>
      </w:r>
    </w:p>
    <w:p w14:paraId="25DC142D" w14:textId="77777777" w:rsidR="00955A9B" w:rsidRPr="00955A9B" w:rsidRDefault="00955A9B" w:rsidP="00955A9B">
      <w:pPr>
        <w:tabs>
          <w:tab w:val="left" w:pos="9356"/>
        </w:tabs>
        <w:spacing w:after="0" w:line="360" w:lineRule="auto"/>
        <w:ind w:right="466"/>
        <w:jc w:val="both"/>
        <w:rPr>
          <w:rFonts w:ascii="Times New Roman" w:eastAsia="Times New Roman" w:hAnsi="Times New Roman" w:cs="Times New Roman"/>
          <w:sz w:val="24"/>
          <w:szCs w:val="24"/>
          <w:lang w:eastAsia="it-IT"/>
        </w:rPr>
      </w:pPr>
    </w:p>
    <w:p w14:paraId="06FED0CD" w14:textId="77777777" w:rsidR="00955A9B" w:rsidRPr="00955A9B" w:rsidRDefault="00955A9B" w:rsidP="00955A9B">
      <w:pPr>
        <w:spacing w:after="0" w:line="360" w:lineRule="auto"/>
        <w:jc w:val="both"/>
        <w:rPr>
          <w:rFonts w:ascii="Times New Roman" w:eastAsia="Calibri" w:hAnsi="Times New Roman" w:cs="Times New Roman"/>
          <w:b/>
          <w:sz w:val="24"/>
          <w:szCs w:val="24"/>
          <w:lang w:eastAsia="it-IT"/>
        </w:rPr>
      </w:pPr>
      <w:r w:rsidRPr="00955A9B">
        <w:rPr>
          <w:rFonts w:ascii="Times New Roman" w:eastAsia="Times New Roman" w:hAnsi="Times New Roman" w:cs="Times New Roman"/>
          <w:b/>
          <w:bCs/>
          <w:sz w:val="24"/>
          <w:szCs w:val="24"/>
          <w:lang w:eastAsia="it-IT"/>
        </w:rPr>
        <w:t>Scheda di segnalazione paziente per discussione nella riunione del Molecular Tumor Board attraverso piattaforma ROC</w:t>
      </w:r>
    </w:p>
    <w:p w14:paraId="789D02C4" w14:textId="77777777" w:rsidR="00955A9B" w:rsidRPr="00955A9B" w:rsidRDefault="00955A9B" w:rsidP="00955A9B">
      <w:pPr>
        <w:overflowPunct w:val="0"/>
        <w:autoSpaceDE w:val="0"/>
        <w:autoSpaceDN w:val="0"/>
        <w:adjustRightInd w:val="0"/>
        <w:spacing w:after="0" w:line="360" w:lineRule="auto"/>
        <w:rPr>
          <w:rFonts w:ascii="Times New Roman" w:eastAsia="Times New Roman" w:hAnsi="Times New Roman" w:cs="Times New Roman"/>
          <w:szCs w:val="24"/>
          <w:lang w:eastAsia="it-IT"/>
        </w:rPr>
      </w:pPr>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firstRow="0" w:lastRow="0" w:firstColumn="0" w:lastColumn="0" w:noHBand="0" w:noVBand="0"/>
      </w:tblPr>
      <w:tblGrid>
        <w:gridCol w:w="3150"/>
        <w:gridCol w:w="7"/>
        <w:gridCol w:w="2722"/>
        <w:gridCol w:w="3894"/>
      </w:tblGrid>
      <w:tr w:rsidR="00955A9B" w:rsidRPr="00955A9B" w14:paraId="0F8061AC" w14:textId="77777777" w:rsidTr="00AE73EE">
        <w:trPr>
          <w:cantSplit/>
          <w:jc w:val="center"/>
        </w:trPr>
        <w:tc>
          <w:tcPr>
            <w:tcW w:w="5879" w:type="dxa"/>
            <w:gridSpan w:val="3"/>
            <w:tcBorders>
              <w:top w:val="single" w:sz="6" w:space="0" w:color="auto"/>
              <w:left w:val="single" w:sz="6" w:space="0" w:color="auto"/>
              <w:bottom w:val="single" w:sz="6" w:space="0" w:color="auto"/>
              <w:right w:val="nil"/>
            </w:tcBorders>
            <w:vAlign w:val="bottom"/>
          </w:tcPr>
          <w:p w14:paraId="3A7FFF2E" w14:textId="77777777" w:rsidR="00955A9B" w:rsidRPr="00955A9B" w:rsidRDefault="00955A9B" w:rsidP="00955A9B">
            <w:pPr>
              <w:spacing w:before="100" w:after="40" w:line="360" w:lineRule="auto"/>
              <w:rPr>
                <w:rFonts w:ascii="Times New Roman" w:eastAsia="Times New Roman" w:hAnsi="Times New Roman" w:cs="Times New Roman"/>
                <w:bCs/>
                <w:szCs w:val="24"/>
                <w:lang w:eastAsia="it-IT"/>
              </w:rPr>
            </w:pPr>
            <w:r w:rsidRPr="00955A9B">
              <w:rPr>
                <w:rFonts w:ascii="Times New Roman" w:eastAsia="Times New Roman" w:hAnsi="Times New Roman" w:cs="Times New Roman"/>
                <w:b/>
                <w:bCs/>
                <w:szCs w:val="24"/>
                <w:lang w:eastAsia="it-IT"/>
              </w:rPr>
              <w:t>Struttura richiedente</w:t>
            </w:r>
          </w:p>
        </w:tc>
        <w:tc>
          <w:tcPr>
            <w:tcW w:w="3894" w:type="dxa"/>
            <w:tcBorders>
              <w:top w:val="single" w:sz="6" w:space="0" w:color="auto"/>
              <w:left w:val="nil"/>
              <w:bottom w:val="single" w:sz="6" w:space="0" w:color="auto"/>
              <w:right w:val="single" w:sz="6" w:space="0" w:color="auto"/>
            </w:tcBorders>
            <w:vAlign w:val="bottom"/>
          </w:tcPr>
          <w:p w14:paraId="5B6D69CA" w14:textId="77777777" w:rsidR="00955A9B" w:rsidRPr="00955A9B" w:rsidRDefault="00955A9B" w:rsidP="00955A9B">
            <w:pPr>
              <w:spacing w:before="100" w:after="40" w:line="360" w:lineRule="auto"/>
              <w:rPr>
                <w:rFonts w:ascii="Times New Roman" w:eastAsia="Times New Roman" w:hAnsi="Times New Roman" w:cs="Times New Roman"/>
                <w:b/>
                <w:bCs/>
                <w:szCs w:val="24"/>
                <w:lang w:eastAsia="it-IT"/>
              </w:rPr>
            </w:pPr>
          </w:p>
        </w:tc>
      </w:tr>
      <w:tr w:rsidR="00955A9B" w:rsidRPr="00955A9B" w14:paraId="501D3866" w14:textId="77777777" w:rsidTr="00AE73EE">
        <w:trPr>
          <w:cantSplit/>
          <w:jc w:val="center"/>
        </w:trPr>
        <w:tc>
          <w:tcPr>
            <w:tcW w:w="3157" w:type="dxa"/>
            <w:gridSpan w:val="2"/>
            <w:tcBorders>
              <w:top w:val="single" w:sz="6" w:space="0" w:color="auto"/>
              <w:left w:val="single" w:sz="6" w:space="0" w:color="auto"/>
              <w:bottom w:val="single" w:sz="6" w:space="0" w:color="auto"/>
              <w:right w:val="single" w:sz="6" w:space="0" w:color="auto"/>
            </w:tcBorders>
            <w:vAlign w:val="bottom"/>
          </w:tcPr>
          <w:p w14:paraId="4B2FBD8E" w14:textId="77777777" w:rsidR="00955A9B" w:rsidRPr="00955A9B" w:rsidRDefault="00955A9B" w:rsidP="00955A9B">
            <w:pPr>
              <w:spacing w:before="100" w:after="40" w:line="360" w:lineRule="auto"/>
              <w:ind w:left="-26" w:firstLine="26"/>
              <w:rPr>
                <w:rFonts w:ascii="Times New Roman" w:eastAsia="Times New Roman" w:hAnsi="Times New Roman" w:cs="Times New Roman"/>
                <w:b/>
                <w:bCs/>
                <w:szCs w:val="24"/>
                <w:lang w:eastAsia="it-IT"/>
              </w:rPr>
            </w:pPr>
            <w:r w:rsidRPr="00955A9B">
              <w:rPr>
                <w:rFonts w:ascii="Times New Roman" w:eastAsia="Times New Roman" w:hAnsi="Times New Roman" w:cs="Times New Roman"/>
                <w:b/>
                <w:bCs/>
                <w:szCs w:val="24"/>
                <w:lang w:eastAsia="it-IT"/>
              </w:rPr>
              <w:t xml:space="preserve">Nome Paziente </w:t>
            </w:r>
          </w:p>
        </w:tc>
        <w:tc>
          <w:tcPr>
            <w:tcW w:w="6616" w:type="dxa"/>
            <w:gridSpan w:val="2"/>
            <w:tcBorders>
              <w:top w:val="single" w:sz="6" w:space="0" w:color="auto"/>
              <w:left w:val="nil"/>
              <w:bottom w:val="single" w:sz="6" w:space="0" w:color="auto"/>
              <w:right w:val="single" w:sz="6" w:space="0" w:color="auto"/>
            </w:tcBorders>
            <w:vAlign w:val="bottom"/>
          </w:tcPr>
          <w:p w14:paraId="0187C1AA" w14:textId="77777777" w:rsidR="00955A9B" w:rsidRPr="00955A9B" w:rsidRDefault="00955A9B" w:rsidP="00955A9B">
            <w:pPr>
              <w:tabs>
                <w:tab w:val="left" w:pos="90"/>
              </w:tabs>
              <w:spacing w:before="100" w:after="40" w:line="360" w:lineRule="auto"/>
              <w:ind w:left="-71"/>
              <w:rPr>
                <w:rFonts w:ascii="Times New Roman" w:eastAsia="Times New Roman" w:hAnsi="Times New Roman" w:cs="Times New Roman"/>
                <w:b/>
                <w:bCs/>
                <w:szCs w:val="24"/>
                <w:lang w:eastAsia="it-IT"/>
              </w:rPr>
            </w:pPr>
          </w:p>
        </w:tc>
      </w:tr>
      <w:tr w:rsidR="00955A9B" w:rsidRPr="00955A9B" w14:paraId="38F7CABA" w14:textId="77777777" w:rsidTr="00AE73EE">
        <w:trPr>
          <w:cantSplit/>
          <w:jc w:val="center"/>
        </w:trPr>
        <w:tc>
          <w:tcPr>
            <w:tcW w:w="3150" w:type="dxa"/>
            <w:tcBorders>
              <w:top w:val="single" w:sz="6" w:space="0" w:color="auto"/>
              <w:left w:val="single" w:sz="6" w:space="0" w:color="auto"/>
              <w:bottom w:val="single" w:sz="6" w:space="0" w:color="auto"/>
              <w:right w:val="single" w:sz="6" w:space="0" w:color="auto"/>
            </w:tcBorders>
            <w:vAlign w:val="bottom"/>
          </w:tcPr>
          <w:p w14:paraId="0C099041" w14:textId="77777777" w:rsidR="00955A9B" w:rsidRPr="00955A9B" w:rsidRDefault="00955A9B" w:rsidP="00955A9B">
            <w:pPr>
              <w:spacing w:before="100" w:after="4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b/>
                <w:szCs w:val="24"/>
                <w:lang w:eastAsia="it-IT"/>
              </w:rPr>
              <w:t>Cognome Paziente</w:t>
            </w:r>
            <w:r w:rsidRPr="00955A9B">
              <w:rPr>
                <w:rFonts w:ascii="Times New Roman" w:eastAsia="Times New Roman" w:hAnsi="Times New Roman" w:cs="Times New Roman"/>
                <w:bCs/>
                <w:szCs w:val="24"/>
                <w:lang w:eastAsia="it-IT"/>
              </w:rPr>
              <w:t xml:space="preserve"> </w:t>
            </w:r>
          </w:p>
        </w:tc>
        <w:tc>
          <w:tcPr>
            <w:tcW w:w="6623" w:type="dxa"/>
            <w:gridSpan w:val="3"/>
            <w:tcBorders>
              <w:top w:val="single" w:sz="6" w:space="0" w:color="auto"/>
              <w:left w:val="single" w:sz="6" w:space="0" w:color="auto"/>
              <w:bottom w:val="single" w:sz="6" w:space="0" w:color="auto"/>
              <w:right w:val="single" w:sz="6" w:space="0" w:color="auto"/>
            </w:tcBorders>
            <w:vAlign w:val="bottom"/>
          </w:tcPr>
          <w:p w14:paraId="65EFBB78" w14:textId="77777777" w:rsidR="00955A9B" w:rsidRPr="00955A9B" w:rsidRDefault="00955A9B" w:rsidP="00955A9B">
            <w:pPr>
              <w:spacing w:before="100" w:after="40" w:line="360" w:lineRule="auto"/>
              <w:rPr>
                <w:rFonts w:ascii="Times New Roman" w:eastAsia="Times New Roman" w:hAnsi="Times New Roman" w:cs="Times New Roman"/>
                <w:b/>
                <w:szCs w:val="24"/>
                <w:lang w:eastAsia="it-IT"/>
              </w:rPr>
            </w:pPr>
          </w:p>
        </w:tc>
      </w:tr>
      <w:tr w:rsidR="00955A9B" w:rsidRPr="00955A9B" w14:paraId="35021ACD" w14:textId="77777777" w:rsidTr="00AE73EE">
        <w:trPr>
          <w:cantSplit/>
          <w:jc w:val="center"/>
        </w:trPr>
        <w:tc>
          <w:tcPr>
            <w:tcW w:w="3150" w:type="dxa"/>
            <w:tcBorders>
              <w:top w:val="single" w:sz="6" w:space="0" w:color="auto"/>
              <w:left w:val="single" w:sz="6" w:space="0" w:color="auto"/>
              <w:bottom w:val="single" w:sz="6" w:space="0" w:color="auto"/>
              <w:right w:val="single" w:sz="4" w:space="0" w:color="auto"/>
            </w:tcBorders>
            <w:vAlign w:val="bottom"/>
          </w:tcPr>
          <w:p w14:paraId="15291D23" w14:textId="77777777" w:rsidR="00955A9B" w:rsidRPr="00955A9B" w:rsidRDefault="00955A9B" w:rsidP="00955A9B">
            <w:pPr>
              <w:spacing w:before="100" w:after="40" w:line="360" w:lineRule="auto"/>
              <w:rPr>
                <w:rFonts w:ascii="Times New Roman" w:eastAsia="Times New Roman" w:hAnsi="Times New Roman" w:cs="Times New Roman"/>
                <w:b/>
                <w:bCs/>
                <w:szCs w:val="24"/>
                <w:lang w:eastAsia="it-IT"/>
              </w:rPr>
            </w:pPr>
            <w:r w:rsidRPr="00955A9B">
              <w:rPr>
                <w:rFonts w:ascii="Times New Roman" w:eastAsia="Times New Roman" w:hAnsi="Times New Roman" w:cs="Times New Roman"/>
                <w:b/>
                <w:bCs/>
                <w:szCs w:val="24"/>
                <w:lang w:eastAsia="it-IT"/>
              </w:rPr>
              <w:t>Data Nascita (gg/mm/aa)</w:t>
            </w:r>
          </w:p>
        </w:tc>
        <w:tc>
          <w:tcPr>
            <w:tcW w:w="6623" w:type="dxa"/>
            <w:gridSpan w:val="3"/>
            <w:tcBorders>
              <w:top w:val="single" w:sz="6" w:space="0" w:color="auto"/>
              <w:left w:val="single" w:sz="4" w:space="0" w:color="auto"/>
              <w:bottom w:val="single" w:sz="6" w:space="0" w:color="auto"/>
              <w:right w:val="single" w:sz="6" w:space="0" w:color="auto"/>
            </w:tcBorders>
            <w:vAlign w:val="bottom"/>
          </w:tcPr>
          <w:p w14:paraId="654F79D7" w14:textId="77777777" w:rsidR="00955A9B" w:rsidRPr="00955A9B" w:rsidRDefault="00955A9B" w:rsidP="00955A9B">
            <w:pPr>
              <w:keepNext/>
              <w:spacing w:before="100" w:after="40" w:line="360" w:lineRule="auto"/>
              <w:outlineLvl w:val="3"/>
              <w:rPr>
                <w:rFonts w:ascii="Times New Roman" w:eastAsia="Times New Roman" w:hAnsi="Times New Roman" w:cs="Times New Roman"/>
                <w:b/>
                <w:szCs w:val="24"/>
                <w:lang w:eastAsia="it-IT"/>
              </w:rPr>
            </w:pPr>
          </w:p>
        </w:tc>
      </w:tr>
      <w:tr w:rsidR="00955A9B" w:rsidRPr="00955A9B" w14:paraId="7019740F" w14:textId="77777777" w:rsidTr="00AE73EE">
        <w:trPr>
          <w:cantSplit/>
          <w:jc w:val="center"/>
        </w:trPr>
        <w:tc>
          <w:tcPr>
            <w:tcW w:w="3150" w:type="dxa"/>
            <w:tcBorders>
              <w:top w:val="single" w:sz="6" w:space="0" w:color="auto"/>
              <w:left w:val="single" w:sz="6" w:space="0" w:color="auto"/>
              <w:bottom w:val="single" w:sz="6" w:space="0" w:color="auto"/>
              <w:right w:val="single" w:sz="4" w:space="0" w:color="auto"/>
            </w:tcBorders>
            <w:vAlign w:val="bottom"/>
          </w:tcPr>
          <w:p w14:paraId="2CCB0151" w14:textId="77777777" w:rsidR="00955A9B" w:rsidRPr="00955A9B" w:rsidRDefault="00955A9B" w:rsidP="00955A9B">
            <w:pPr>
              <w:spacing w:before="100" w:after="40" w:line="360" w:lineRule="auto"/>
              <w:rPr>
                <w:rFonts w:ascii="Times New Roman" w:eastAsia="Times New Roman" w:hAnsi="Times New Roman" w:cs="Times New Roman"/>
                <w:b/>
                <w:noProof/>
                <w:szCs w:val="24"/>
                <w:lang w:eastAsia="it-IT"/>
              </w:rPr>
            </w:pPr>
            <w:r w:rsidRPr="00955A9B">
              <w:rPr>
                <w:rFonts w:ascii="Times New Roman" w:eastAsia="Times New Roman" w:hAnsi="Times New Roman" w:cs="Times New Roman"/>
                <w:b/>
                <w:bCs/>
                <w:szCs w:val="24"/>
                <w:lang w:eastAsia="it-IT"/>
              </w:rPr>
              <w:t>Sesso</w:t>
            </w:r>
          </w:p>
        </w:tc>
        <w:tc>
          <w:tcPr>
            <w:tcW w:w="6623" w:type="dxa"/>
            <w:gridSpan w:val="3"/>
            <w:tcBorders>
              <w:top w:val="single" w:sz="6" w:space="0" w:color="auto"/>
              <w:left w:val="single" w:sz="4" w:space="0" w:color="auto"/>
              <w:bottom w:val="single" w:sz="6" w:space="0" w:color="auto"/>
              <w:right w:val="single" w:sz="6" w:space="0" w:color="auto"/>
            </w:tcBorders>
            <w:vAlign w:val="bottom"/>
          </w:tcPr>
          <w:p w14:paraId="02FE47E9" w14:textId="77777777" w:rsidR="00955A9B" w:rsidRPr="00955A9B" w:rsidRDefault="00955A9B" w:rsidP="00955A9B">
            <w:pPr>
              <w:keepNext/>
              <w:spacing w:before="100" w:after="40" w:line="360" w:lineRule="auto"/>
              <w:outlineLvl w:val="3"/>
              <w:rPr>
                <w:rFonts w:ascii="Times New Roman" w:eastAsia="Times New Roman" w:hAnsi="Times New Roman" w:cs="Times New Roman"/>
                <w:szCs w:val="24"/>
                <w:lang w:eastAsia="it-IT"/>
              </w:rPr>
            </w:pPr>
            <w:r w:rsidRPr="00955A9B">
              <w:rPr>
                <w:rFonts w:ascii="Times New Roman" w:eastAsia="Times New Roman" w:hAnsi="Times New Roman" w:cs="Times New Roman"/>
                <w:b/>
                <w:bCs/>
                <w:noProof/>
                <w:szCs w:val="24"/>
                <w:lang w:eastAsia="it-IT"/>
              </w:rPr>
              <mc:AlternateContent>
                <mc:Choice Requires="wps">
                  <w:drawing>
                    <wp:anchor distT="0" distB="0" distL="114300" distR="114300" simplePos="0" relativeHeight="251741184" behindDoc="0" locked="0" layoutInCell="1" allowOverlap="1" wp14:anchorId="7E0A2290" wp14:editId="65DCEB37">
                      <wp:simplePos x="0" y="0"/>
                      <wp:positionH relativeFrom="column">
                        <wp:posOffset>137160</wp:posOffset>
                      </wp:positionH>
                      <wp:positionV relativeFrom="paragraph">
                        <wp:posOffset>99695</wp:posOffset>
                      </wp:positionV>
                      <wp:extent cx="90805" cy="90805"/>
                      <wp:effectExtent l="0" t="0" r="23495" b="23495"/>
                      <wp:wrapNone/>
                      <wp:docPr id="51" name="Rettango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B3FAC7" id="Rettangolo 51" o:spid="_x0000_s1026" style="position:absolute;margin-left:10.8pt;margin-top:7.85pt;width:7.15pt;height: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"/>
                  </w:pict>
                </mc:Fallback>
              </mc:AlternateContent>
            </w:r>
            <w:r w:rsidRPr="00955A9B">
              <w:rPr>
                <w:rFonts w:ascii="Times New Roman" w:eastAsia="Times New Roman" w:hAnsi="Times New Roman" w:cs="Times New Roman"/>
                <w:b/>
                <w:bCs/>
                <w:noProof/>
                <w:szCs w:val="24"/>
                <w:lang w:eastAsia="it-IT"/>
              </w:rPr>
              <mc:AlternateContent>
                <mc:Choice Requires="wps">
                  <w:drawing>
                    <wp:anchor distT="0" distB="0" distL="114300" distR="114300" simplePos="0" relativeHeight="251738112" behindDoc="0" locked="0" layoutInCell="1" allowOverlap="1" wp14:anchorId="67389563" wp14:editId="00C7F333">
                      <wp:simplePos x="0" y="0"/>
                      <wp:positionH relativeFrom="column">
                        <wp:posOffset>1927860</wp:posOffset>
                      </wp:positionH>
                      <wp:positionV relativeFrom="paragraph">
                        <wp:posOffset>115570</wp:posOffset>
                      </wp:positionV>
                      <wp:extent cx="90805" cy="90805"/>
                      <wp:effectExtent l="0" t="0" r="23495" b="23495"/>
                      <wp:wrapNone/>
                      <wp:docPr id="5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7D2BB" id="Rettangolo 52" o:spid="_x0000_s1026" style="position:absolute;margin-left:151.8pt;margin-top:9.1pt;width:7.1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B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G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"/>
                  </w:pict>
                </mc:Fallback>
              </mc:AlternateContent>
            </w:r>
            <w:r w:rsidRPr="00955A9B">
              <w:rPr>
                <w:rFonts w:ascii="Times New Roman" w:eastAsia="Times New Roman" w:hAnsi="Times New Roman" w:cs="Times New Roman"/>
                <w:bCs/>
                <w:szCs w:val="24"/>
                <w:lang w:eastAsia="it-IT"/>
              </w:rPr>
              <w:t xml:space="preserve">          M                                     F</w:t>
            </w:r>
          </w:p>
        </w:tc>
      </w:tr>
      <w:tr w:rsidR="00955A9B" w:rsidRPr="00955A9B" w14:paraId="09AD7455" w14:textId="77777777" w:rsidTr="00AE73EE">
        <w:trPr>
          <w:cantSplit/>
          <w:jc w:val="center"/>
        </w:trPr>
        <w:tc>
          <w:tcPr>
            <w:tcW w:w="9773" w:type="dxa"/>
            <w:gridSpan w:val="4"/>
            <w:tcBorders>
              <w:top w:val="single" w:sz="6" w:space="0" w:color="auto"/>
              <w:left w:val="single" w:sz="6" w:space="0" w:color="auto"/>
              <w:bottom w:val="single" w:sz="6" w:space="0" w:color="auto"/>
              <w:right w:val="single" w:sz="6" w:space="0" w:color="auto"/>
            </w:tcBorders>
            <w:vAlign w:val="bottom"/>
          </w:tcPr>
          <w:p w14:paraId="1B86490F" w14:textId="77777777" w:rsidR="00955A9B" w:rsidRPr="00955A9B" w:rsidRDefault="00955A9B" w:rsidP="00955A9B">
            <w:pPr>
              <w:spacing w:before="100" w:after="40" w:line="360" w:lineRule="auto"/>
              <w:rPr>
                <w:rFonts w:ascii="Times New Roman" w:eastAsia="Times New Roman" w:hAnsi="Times New Roman" w:cs="Times New Roman"/>
                <w:b/>
                <w:bCs/>
                <w:szCs w:val="24"/>
                <w:lang w:eastAsia="it-IT"/>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37088" behindDoc="0" locked="0" layoutInCell="1" allowOverlap="1" wp14:anchorId="11C9A526" wp14:editId="7FD1706E">
                      <wp:simplePos x="0" y="0"/>
                      <wp:positionH relativeFrom="column">
                        <wp:posOffset>508635</wp:posOffset>
                      </wp:positionH>
                      <wp:positionV relativeFrom="paragraph">
                        <wp:posOffset>105410</wp:posOffset>
                      </wp:positionV>
                      <wp:extent cx="90805" cy="90805"/>
                      <wp:effectExtent l="0" t="0" r="23495" b="23495"/>
                      <wp:wrapNone/>
                      <wp:docPr id="53" name="Rettango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7EE782" id="Rettangolo 53" o:spid="_x0000_s1026" style="position:absolute;margin-left:40.05pt;margin-top:8.3pt;width:7.1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XjHQIAADw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"/>
                  </w:pict>
                </mc:Fallback>
              </mc:AlternateContent>
            </w:r>
            <w:r w:rsidRPr="00955A9B">
              <w:rPr>
                <w:rFonts w:ascii="Times New Roman" w:eastAsia="Times New Roman" w:hAnsi="Times New Roman" w:cs="Times New Roman"/>
                <w:b/>
                <w:szCs w:val="24"/>
                <w:lang w:eastAsia="it-IT"/>
              </w:rPr>
              <w:t xml:space="preserve">Etnia   </w:t>
            </w:r>
            <w:r w:rsidRPr="00955A9B">
              <w:rPr>
                <w:rFonts w:ascii="Times New Roman" w:eastAsia="Times New Roman" w:hAnsi="Times New Roman" w:cs="Times New Roman"/>
                <w:bCs/>
                <w:szCs w:val="24"/>
                <w:lang w:eastAsia="it-IT"/>
              </w:rPr>
              <w:t xml:space="preserve">     Caucasica                             </w:t>
            </w:r>
            <w:r w:rsidRPr="00955A9B">
              <w:rPr>
                <w:rFonts w:ascii="Times New Roman" w:eastAsia="Times New Roman" w:hAnsi="Times New Roman" w:cs="Times New Roman"/>
                <w:bCs/>
                <w:szCs w:val="24"/>
                <w:lang w:eastAsia="it-IT"/>
              </w:rPr>
              <w:fldChar w:fldCharType="begin"/>
            </w:r>
            <w:r w:rsidRPr="00955A9B">
              <w:rPr>
                <w:rFonts w:ascii="Times New Roman" w:eastAsia="Times New Roman" w:hAnsi="Times New Roman" w:cs="Times New Roman"/>
                <w:bCs/>
                <w:szCs w:val="24"/>
                <w:lang w:eastAsia="it-IT"/>
              </w:rPr>
              <w:instrText>SYMBOL 111 \f "Wingdings"</w:instrText>
            </w:r>
            <w:r w:rsidRPr="00955A9B">
              <w:rPr>
                <w:rFonts w:ascii="Times New Roman" w:eastAsia="Times New Roman" w:hAnsi="Times New Roman" w:cs="Times New Roman"/>
                <w:bCs/>
                <w:szCs w:val="24"/>
                <w:lang w:eastAsia="it-IT"/>
              </w:rPr>
              <w:fldChar w:fldCharType="end"/>
            </w:r>
            <w:r w:rsidRPr="00955A9B">
              <w:rPr>
                <w:rFonts w:ascii="Times New Roman" w:eastAsia="Times New Roman" w:hAnsi="Times New Roman" w:cs="Times New Roman"/>
                <w:bCs/>
                <w:szCs w:val="24"/>
                <w:lang w:eastAsia="it-IT"/>
              </w:rPr>
              <w:t xml:space="preserve"> Asia orientale                         </w:t>
            </w:r>
            <w:r w:rsidRPr="00955A9B">
              <w:rPr>
                <w:rFonts w:ascii="Times New Roman" w:eastAsia="Times New Roman" w:hAnsi="Times New Roman" w:cs="Times New Roman"/>
                <w:bCs/>
                <w:szCs w:val="24"/>
                <w:lang w:eastAsia="it-IT"/>
              </w:rPr>
              <w:fldChar w:fldCharType="begin"/>
            </w:r>
            <w:r w:rsidRPr="00955A9B">
              <w:rPr>
                <w:rFonts w:ascii="Times New Roman" w:eastAsia="Times New Roman" w:hAnsi="Times New Roman" w:cs="Times New Roman"/>
                <w:bCs/>
                <w:szCs w:val="24"/>
                <w:lang w:eastAsia="it-IT"/>
              </w:rPr>
              <w:instrText>SYMBOL 111 \f "Wingdings"</w:instrText>
            </w:r>
            <w:r w:rsidRPr="00955A9B">
              <w:rPr>
                <w:rFonts w:ascii="Times New Roman" w:eastAsia="Times New Roman" w:hAnsi="Times New Roman" w:cs="Times New Roman"/>
                <w:bCs/>
                <w:szCs w:val="24"/>
                <w:lang w:eastAsia="it-IT"/>
              </w:rPr>
              <w:fldChar w:fldCharType="end"/>
            </w:r>
            <w:r w:rsidRPr="00955A9B">
              <w:rPr>
                <w:rFonts w:ascii="Times New Roman" w:eastAsia="Times New Roman" w:hAnsi="Times New Roman" w:cs="Times New Roman"/>
                <w:bCs/>
                <w:szCs w:val="24"/>
                <w:lang w:eastAsia="it-IT"/>
              </w:rPr>
              <w:t xml:space="preserve"> Altro: </w:t>
            </w:r>
          </w:p>
        </w:tc>
      </w:tr>
      <w:tr w:rsidR="00955A9B" w:rsidRPr="00955A9B" w14:paraId="6E30D434" w14:textId="77777777" w:rsidTr="00AE73EE">
        <w:trPr>
          <w:cantSplit/>
          <w:jc w:val="center"/>
        </w:trPr>
        <w:tc>
          <w:tcPr>
            <w:tcW w:w="9773" w:type="dxa"/>
            <w:gridSpan w:val="4"/>
            <w:tcBorders>
              <w:top w:val="single" w:sz="6" w:space="0" w:color="auto"/>
              <w:left w:val="single" w:sz="6" w:space="0" w:color="auto"/>
              <w:bottom w:val="single" w:sz="6" w:space="0" w:color="auto"/>
              <w:right w:val="single" w:sz="6" w:space="0" w:color="auto"/>
            </w:tcBorders>
            <w:vAlign w:val="bottom"/>
          </w:tcPr>
          <w:p w14:paraId="5E5496FA" w14:textId="77777777" w:rsidR="00955A9B" w:rsidRPr="00955A9B" w:rsidRDefault="00955A9B" w:rsidP="00955A9B">
            <w:pPr>
              <w:spacing w:before="100" w:after="40" w:line="360" w:lineRule="auto"/>
              <w:rPr>
                <w:rFonts w:ascii="Times New Roman" w:eastAsia="Times New Roman" w:hAnsi="Times New Roman" w:cs="Times New Roman"/>
                <w:b/>
                <w:noProof/>
                <w:szCs w:val="24"/>
                <w:lang w:eastAsia="en-GB"/>
              </w:rPr>
            </w:pPr>
            <w:r w:rsidRPr="00955A9B">
              <w:rPr>
                <w:rFonts w:ascii="Times New Roman" w:eastAsia="Times New Roman" w:hAnsi="Times New Roman" w:cs="Times New Roman"/>
                <w:b/>
                <w:noProof/>
                <w:szCs w:val="24"/>
                <w:lang w:eastAsia="en-GB"/>
              </w:rPr>
              <w:t>Data Diagnosi Malattia Metastatica (</w:t>
            </w:r>
            <w:r w:rsidRPr="00955A9B">
              <w:rPr>
                <w:rFonts w:ascii="Times New Roman" w:eastAsia="Times New Roman" w:hAnsi="Times New Roman" w:cs="Times New Roman"/>
                <w:b/>
                <w:bCs/>
                <w:szCs w:val="24"/>
                <w:lang w:eastAsia="it-IT"/>
              </w:rPr>
              <w:t xml:space="preserve">gg/mm/aa) </w:t>
            </w:r>
          </w:p>
        </w:tc>
      </w:tr>
    </w:tbl>
    <w:p w14:paraId="6249B17F" w14:textId="77777777" w:rsidR="00955A9B" w:rsidRPr="00955A9B" w:rsidRDefault="00955A9B" w:rsidP="00955A9B">
      <w:pPr>
        <w:overflowPunct w:val="0"/>
        <w:autoSpaceDE w:val="0"/>
        <w:autoSpaceDN w:val="0"/>
        <w:adjustRightInd w:val="0"/>
        <w:spacing w:after="0" w:line="360" w:lineRule="auto"/>
        <w:rPr>
          <w:rFonts w:ascii="Times New Roman" w:eastAsia="Times New Roman" w:hAnsi="Times New Roman" w:cs="Times New Roman"/>
          <w:szCs w:val="24"/>
          <w:lang w:eastAsia="it-IT"/>
        </w:rPr>
      </w:pPr>
    </w:p>
    <w:p w14:paraId="402B307A" w14:textId="77777777" w:rsidR="00955A9B" w:rsidRPr="00955A9B" w:rsidRDefault="00955A9B" w:rsidP="00955A9B">
      <w:pPr>
        <w:overflowPunct w:val="0"/>
        <w:autoSpaceDE w:val="0"/>
        <w:autoSpaceDN w:val="0"/>
        <w:adjustRightInd w:val="0"/>
        <w:spacing w:after="0" w:line="360" w:lineRule="auto"/>
        <w:rPr>
          <w:rFonts w:ascii="Times New Roman" w:eastAsia="Times New Roman" w:hAnsi="Times New Roman" w:cs="Times New Roman"/>
          <w:szCs w:val="24"/>
          <w:lang w:eastAsia="it-IT"/>
        </w:rPr>
      </w:pPr>
    </w:p>
    <w:tbl>
      <w:tblPr>
        <w:tblpPr w:leftFromText="180" w:rightFromText="180" w:vertAnchor="text" w:horzAnchor="margin" w:tblpX="35" w:tblpY="1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3"/>
        <w:gridCol w:w="2654"/>
      </w:tblGrid>
      <w:tr w:rsidR="00955A9B" w:rsidRPr="00955A9B" w14:paraId="257146FA" w14:textId="77777777" w:rsidTr="00AE73EE">
        <w:tc>
          <w:tcPr>
            <w:tcW w:w="9747" w:type="dxa"/>
            <w:gridSpan w:val="2"/>
            <w:shd w:val="clear" w:color="auto" w:fill="auto"/>
          </w:tcPr>
          <w:p w14:paraId="53EF7BE8"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b/>
                <w:szCs w:val="24"/>
                <w:lang w:eastAsia="it-IT"/>
              </w:rPr>
              <w:t xml:space="preserve">Criteri di Eleggibilità </w:t>
            </w:r>
          </w:p>
        </w:tc>
      </w:tr>
      <w:tr w:rsidR="00955A9B" w:rsidRPr="00955A9B" w14:paraId="0BBF4495" w14:textId="77777777" w:rsidTr="00AE73EE">
        <w:tc>
          <w:tcPr>
            <w:tcW w:w="7093" w:type="dxa"/>
            <w:shd w:val="clear" w:color="auto" w:fill="auto"/>
          </w:tcPr>
          <w:p w14:paraId="05BCBA8B" w14:textId="77777777" w:rsidR="00955A9B" w:rsidRPr="00955A9B" w:rsidRDefault="00955A9B" w:rsidP="00955A9B">
            <w:pPr>
              <w:spacing w:before="100" w:after="40" w:line="360" w:lineRule="auto"/>
              <w:rPr>
                <w:rFonts w:ascii="Times New Roman" w:eastAsia="Calibri" w:hAnsi="Times New Roman" w:cs="Times New Roman"/>
                <w:iCs/>
                <w:szCs w:val="24"/>
                <w:lang w:eastAsia="it-IT"/>
              </w:rPr>
            </w:pPr>
            <w:r w:rsidRPr="00955A9B">
              <w:rPr>
                <w:rFonts w:ascii="Times New Roman" w:eastAsia="Times New Roman" w:hAnsi="Times New Roman" w:cs="Times New Roman"/>
                <w:noProof/>
                <w:szCs w:val="24"/>
                <w:lang w:eastAsia="en-GB"/>
              </w:rPr>
              <w:t>Pazienti con malattia avanzata/metastatica che hanno ricevuto un test di profilazione genomica e che presentino quadri mutazionali che non hanno un immediato ed univoco inquadramento clinico (mutazioni rare, presenza di co-mutazioni, etc.)</w:t>
            </w:r>
          </w:p>
        </w:tc>
        <w:tc>
          <w:tcPr>
            <w:tcW w:w="2654" w:type="dxa"/>
            <w:shd w:val="clear" w:color="auto" w:fill="auto"/>
          </w:tcPr>
          <w:p w14:paraId="344D122E"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3232" behindDoc="0" locked="0" layoutInCell="1" allowOverlap="1" wp14:anchorId="20D31832" wp14:editId="5D540B82">
                      <wp:simplePos x="0" y="0"/>
                      <wp:positionH relativeFrom="column">
                        <wp:posOffset>727710</wp:posOffset>
                      </wp:positionH>
                      <wp:positionV relativeFrom="paragraph">
                        <wp:posOffset>88900</wp:posOffset>
                      </wp:positionV>
                      <wp:extent cx="90805" cy="90805"/>
                      <wp:effectExtent l="0" t="0" r="23495" b="23495"/>
                      <wp:wrapNone/>
                      <wp:docPr id="54"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B33072" id="Rettangolo 54" o:spid="_x0000_s1026" style="position:absolute;margin-left:57.3pt;margin-top:7pt;width:7.15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0U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O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2208" behindDoc="0" locked="0" layoutInCell="1" allowOverlap="1" wp14:anchorId="7C4A4FCB" wp14:editId="49E40938">
                      <wp:simplePos x="0" y="0"/>
                      <wp:positionH relativeFrom="column">
                        <wp:posOffset>183515</wp:posOffset>
                      </wp:positionH>
                      <wp:positionV relativeFrom="paragraph">
                        <wp:posOffset>83185</wp:posOffset>
                      </wp:positionV>
                      <wp:extent cx="90805" cy="90805"/>
                      <wp:effectExtent l="0" t="0" r="23495" b="23495"/>
                      <wp:wrapNone/>
                      <wp:docPr id="55" name="Rettango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E45088" id="Rettangolo 55" o:spid="_x0000_s1026" style="position:absolute;margin-left:14.45pt;margin-top:6.55pt;width:7.15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N2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"/>
                  </w:pict>
                </mc:Fallback>
              </mc:AlternateContent>
            </w:r>
            <w:r w:rsidRPr="00955A9B">
              <w:rPr>
                <w:rFonts w:ascii="Times New Roman" w:eastAsia="Times New Roman" w:hAnsi="Times New Roman" w:cs="Times New Roman"/>
                <w:b/>
                <w:szCs w:val="24"/>
                <w:lang w:eastAsia="it-IT"/>
              </w:rPr>
              <w:t>SI        NO</w:t>
            </w:r>
          </w:p>
        </w:tc>
      </w:tr>
      <w:tr w:rsidR="00955A9B" w:rsidRPr="00955A9B" w14:paraId="3B02339C" w14:textId="77777777" w:rsidTr="00AE73EE">
        <w:tc>
          <w:tcPr>
            <w:tcW w:w="7093" w:type="dxa"/>
            <w:shd w:val="clear" w:color="auto" w:fill="auto"/>
          </w:tcPr>
          <w:p w14:paraId="43B6C1C0" w14:textId="77777777" w:rsidR="00955A9B" w:rsidRPr="00955A9B" w:rsidRDefault="00955A9B" w:rsidP="00955A9B">
            <w:pPr>
              <w:spacing w:before="100" w:after="40" w:line="360" w:lineRule="auto"/>
              <w:rPr>
                <w:rFonts w:ascii="Times New Roman" w:eastAsia="Calibri" w:hAnsi="Times New Roman" w:cs="Times New Roman"/>
                <w:iCs/>
                <w:szCs w:val="24"/>
                <w:lang w:eastAsia="it-IT"/>
              </w:rPr>
            </w:pPr>
            <w:r w:rsidRPr="00955A9B">
              <w:rPr>
                <w:rFonts w:ascii="Times New Roman" w:eastAsia="Times New Roman" w:hAnsi="Times New Roman" w:cs="Times New Roman"/>
                <w:noProof/>
                <w:szCs w:val="24"/>
                <w:lang w:eastAsia="en-GB"/>
              </w:rPr>
              <w:t>Pazienti con malattia avanzata/metastatica con buon Performance Status (PS 0/1) ed un’aspettativa di vita &gt; 6 mesi, per i quali è richiesto un test di profilazione genomica o un farmaco la cui prescrizione è di competenza del MTB (esempio test NTRK)</w:t>
            </w:r>
          </w:p>
        </w:tc>
        <w:tc>
          <w:tcPr>
            <w:tcW w:w="2654" w:type="dxa"/>
            <w:shd w:val="clear" w:color="auto" w:fill="auto"/>
          </w:tcPr>
          <w:p w14:paraId="5533B060"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5280" behindDoc="0" locked="0" layoutInCell="1" allowOverlap="1" wp14:anchorId="4C428787" wp14:editId="2F562C3F">
                      <wp:simplePos x="0" y="0"/>
                      <wp:positionH relativeFrom="column">
                        <wp:posOffset>747395</wp:posOffset>
                      </wp:positionH>
                      <wp:positionV relativeFrom="paragraph">
                        <wp:posOffset>85090</wp:posOffset>
                      </wp:positionV>
                      <wp:extent cx="90805" cy="90805"/>
                      <wp:effectExtent l="0" t="0" r="23495" b="23495"/>
                      <wp:wrapNone/>
                      <wp:docPr id="56"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91313" id="Rettangolo 56" o:spid="_x0000_s1026" style="position:absolute;margin-left:58.85pt;margin-top:6.7pt;width:7.1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DR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1nV5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4256" behindDoc="0" locked="0" layoutInCell="1" allowOverlap="1" wp14:anchorId="17EC3D70" wp14:editId="5CFDAF47">
                      <wp:simplePos x="0" y="0"/>
                      <wp:positionH relativeFrom="column">
                        <wp:posOffset>183515</wp:posOffset>
                      </wp:positionH>
                      <wp:positionV relativeFrom="paragraph">
                        <wp:posOffset>74930</wp:posOffset>
                      </wp:positionV>
                      <wp:extent cx="90805" cy="90805"/>
                      <wp:effectExtent l="0" t="0" r="23495" b="23495"/>
                      <wp:wrapNone/>
                      <wp:docPr id="57" name="Rettango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B702D5" id="Rettangolo 57" o:spid="_x0000_s1026" style="position:absolute;margin-left:14.45pt;margin-top:5.9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"/>
                  </w:pict>
                </mc:Fallback>
              </mc:AlternateContent>
            </w:r>
            <w:r w:rsidRPr="00955A9B">
              <w:rPr>
                <w:rFonts w:ascii="Times New Roman" w:eastAsia="Times New Roman" w:hAnsi="Times New Roman" w:cs="Times New Roman"/>
                <w:b/>
                <w:szCs w:val="24"/>
                <w:lang w:eastAsia="it-IT"/>
              </w:rPr>
              <w:t>SI        NO</w:t>
            </w:r>
          </w:p>
        </w:tc>
      </w:tr>
      <w:tr w:rsidR="00955A9B" w:rsidRPr="00955A9B" w14:paraId="4E68E5D4" w14:textId="77777777" w:rsidTr="00AE73EE">
        <w:tc>
          <w:tcPr>
            <w:tcW w:w="7093" w:type="dxa"/>
            <w:shd w:val="clear" w:color="auto" w:fill="auto"/>
          </w:tcPr>
          <w:p w14:paraId="5E82AE41" w14:textId="77777777" w:rsidR="00955A9B" w:rsidRPr="00955A9B" w:rsidRDefault="00955A9B" w:rsidP="00955A9B">
            <w:pPr>
              <w:spacing w:before="60" w:after="60" w:line="360" w:lineRule="auto"/>
              <w:rPr>
                <w:rFonts w:ascii="Times New Roman" w:eastAsia="Times New Roman" w:hAnsi="Times New Roman" w:cs="Times New Roman"/>
                <w:szCs w:val="24"/>
                <w:lang w:eastAsia="it-IT"/>
              </w:rPr>
            </w:pPr>
            <w:r w:rsidRPr="00955A9B">
              <w:rPr>
                <w:rFonts w:ascii="Times New Roman" w:eastAsia="Times New Roman" w:hAnsi="Times New Roman" w:cs="Times New Roman"/>
                <w:noProof/>
                <w:szCs w:val="24"/>
                <w:lang w:eastAsia="en-GB"/>
              </w:rPr>
              <w:t>Pazienti con scarse opzioni terapeutiche o in rapida progressione dopo terapie standard anche con farmaci target o che abbiano esaurito le linee standard di terapia, con buon Performance Status (PS 0/1) ed un’aspettativa di vita &gt; 6 mesi, per i quali è richiesto un test di profilazione genomica con NGS.</w:t>
            </w:r>
          </w:p>
        </w:tc>
        <w:tc>
          <w:tcPr>
            <w:tcW w:w="2654" w:type="dxa"/>
            <w:shd w:val="clear" w:color="auto" w:fill="auto"/>
          </w:tcPr>
          <w:p w14:paraId="5663D17F"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7328" behindDoc="0" locked="0" layoutInCell="1" allowOverlap="1" wp14:anchorId="0B3A1C79" wp14:editId="4F631417">
                      <wp:simplePos x="0" y="0"/>
                      <wp:positionH relativeFrom="column">
                        <wp:posOffset>773430</wp:posOffset>
                      </wp:positionH>
                      <wp:positionV relativeFrom="paragraph">
                        <wp:posOffset>70485</wp:posOffset>
                      </wp:positionV>
                      <wp:extent cx="90805" cy="90805"/>
                      <wp:effectExtent l="0" t="0" r="23495" b="23495"/>
                      <wp:wrapNone/>
                      <wp:docPr id="58" name="Rettango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15150C" id="Rettangolo 58" o:spid="_x0000_s1026" style="position:absolute;margin-left:60.9pt;margin-top:5.55pt;width:7.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6304" behindDoc="0" locked="0" layoutInCell="1" allowOverlap="1" wp14:anchorId="270690CC" wp14:editId="41ED9ECD">
                      <wp:simplePos x="0" y="0"/>
                      <wp:positionH relativeFrom="column">
                        <wp:posOffset>183515</wp:posOffset>
                      </wp:positionH>
                      <wp:positionV relativeFrom="paragraph">
                        <wp:posOffset>87630</wp:posOffset>
                      </wp:positionV>
                      <wp:extent cx="90805" cy="90805"/>
                      <wp:effectExtent l="0" t="0" r="23495" b="23495"/>
                      <wp:wrapNone/>
                      <wp:docPr id="59" name="Rettango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B34AD5" id="Rettangolo 59" o:spid="_x0000_s1026" style="position:absolute;margin-left:14.45pt;margin-top:6.9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6HHAIAADw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"/>
                  </w:pict>
                </mc:Fallback>
              </mc:AlternateContent>
            </w:r>
            <w:r w:rsidRPr="00955A9B">
              <w:rPr>
                <w:rFonts w:ascii="Times New Roman" w:eastAsia="Times New Roman" w:hAnsi="Times New Roman" w:cs="Times New Roman"/>
                <w:b/>
                <w:szCs w:val="24"/>
                <w:lang w:eastAsia="it-IT"/>
              </w:rPr>
              <w:t>SI         NO</w:t>
            </w:r>
          </w:p>
        </w:tc>
      </w:tr>
    </w:tbl>
    <w:p w14:paraId="2945D70D" w14:textId="77777777" w:rsidR="00955A9B" w:rsidRPr="00955A9B" w:rsidRDefault="00955A9B" w:rsidP="00955A9B">
      <w:pPr>
        <w:overflowPunct w:val="0"/>
        <w:autoSpaceDE w:val="0"/>
        <w:autoSpaceDN w:val="0"/>
        <w:adjustRightInd w:val="0"/>
        <w:spacing w:after="0" w:line="360" w:lineRule="auto"/>
        <w:rPr>
          <w:rFonts w:ascii="Times New Roman" w:eastAsia="Times New Roman" w:hAnsi="Times New Roman" w:cs="Times New Roman"/>
          <w:b/>
          <w:noProof/>
          <w:szCs w:val="24"/>
          <w:lang w:eastAsia="en-GB"/>
        </w:rPr>
      </w:pPr>
    </w:p>
    <w:p w14:paraId="7757C9D0" w14:textId="77777777" w:rsidR="00955A9B" w:rsidRPr="00955A9B" w:rsidRDefault="00955A9B" w:rsidP="00955A9B">
      <w:pPr>
        <w:overflowPunct w:val="0"/>
        <w:autoSpaceDE w:val="0"/>
        <w:autoSpaceDN w:val="0"/>
        <w:adjustRightInd w:val="0"/>
        <w:spacing w:after="0" w:line="360" w:lineRule="auto"/>
        <w:rPr>
          <w:rFonts w:ascii="Times New Roman" w:eastAsia="Times New Roman" w:hAnsi="Times New Roman" w:cs="Times New Roman"/>
          <w:b/>
          <w:noProof/>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5"/>
        <w:gridCol w:w="2853"/>
      </w:tblGrid>
      <w:tr w:rsidR="00955A9B" w:rsidRPr="00955A9B" w14:paraId="010C766C" w14:textId="77777777" w:rsidTr="00AE73EE">
        <w:trPr>
          <w:trHeight w:val="461"/>
        </w:trPr>
        <w:tc>
          <w:tcPr>
            <w:tcW w:w="9747" w:type="dxa"/>
            <w:gridSpan w:val="2"/>
            <w:shd w:val="clear" w:color="auto" w:fill="auto"/>
          </w:tcPr>
          <w:p w14:paraId="7DE62453" w14:textId="77777777" w:rsidR="00955A9B" w:rsidRPr="00955A9B" w:rsidRDefault="00955A9B" w:rsidP="00955A9B">
            <w:pPr>
              <w:spacing w:before="60" w:after="60" w:line="360" w:lineRule="auto"/>
              <w:rPr>
                <w:rFonts w:ascii="Times New Roman" w:eastAsia="Times New Roman" w:hAnsi="Times New Roman" w:cs="Times New Roman"/>
                <w:b/>
                <w:noProof/>
                <w:szCs w:val="24"/>
                <w:lang w:eastAsia="en-GB"/>
              </w:rPr>
            </w:pPr>
            <w:r w:rsidRPr="00955A9B">
              <w:rPr>
                <w:rFonts w:ascii="Times New Roman" w:eastAsia="Times New Roman" w:hAnsi="Times New Roman" w:cs="Times New Roman"/>
                <w:b/>
                <w:szCs w:val="24"/>
                <w:lang w:eastAsia="it-IT"/>
              </w:rPr>
              <w:t>Disponibilità di materiale biologico</w:t>
            </w:r>
          </w:p>
        </w:tc>
      </w:tr>
      <w:tr w:rsidR="00955A9B" w:rsidRPr="00955A9B" w14:paraId="06A81905" w14:textId="77777777" w:rsidTr="00AE73EE">
        <w:tc>
          <w:tcPr>
            <w:tcW w:w="6858" w:type="dxa"/>
            <w:shd w:val="clear" w:color="auto" w:fill="auto"/>
          </w:tcPr>
          <w:p w14:paraId="5627C0DC" w14:textId="77777777" w:rsidR="00955A9B" w:rsidRPr="00955A9B" w:rsidRDefault="00955A9B" w:rsidP="00955A9B">
            <w:pPr>
              <w:spacing w:before="100" w:after="40" w:line="360" w:lineRule="auto"/>
              <w:rPr>
                <w:rFonts w:ascii="Times New Roman" w:eastAsia="Times New Roman" w:hAnsi="Times New Roman" w:cs="Times New Roman"/>
                <w:noProof/>
                <w:szCs w:val="24"/>
                <w:lang w:eastAsia="en-GB"/>
              </w:rPr>
            </w:pPr>
            <w:r w:rsidRPr="00955A9B">
              <w:rPr>
                <w:rFonts w:ascii="Times New Roman" w:eastAsia="Times New Roman" w:hAnsi="Times New Roman" w:cs="Times New Roman"/>
                <w:noProof/>
                <w:szCs w:val="24"/>
                <w:lang w:eastAsia="en-GB"/>
              </w:rPr>
              <w:t>Disponibilità di campione biologico alla diagnosi</w:t>
            </w:r>
          </w:p>
        </w:tc>
        <w:tc>
          <w:tcPr>
            <w:tcW w:w="2889" w:type="dxa"/>
            <w:shd w:val="clear" w:color="auto" w:fill="auto"/>
          </w:tcPr>
          <w:p w14:paraId="4E1E9788" w14:textId="77777777" w:rsidR="00955A9B" w:rsidRPr="00955A9B" w:rsidRDefault="00955A9B" w:rsidP="00955A9B">
            <w:pPr>
              <w:spacing w:before="60" w:after="60" w:line="360" w:lineRule="auto"/>
              <w:rPr>
                <w:rFonts w:ascii="Times New Roman" w:eastAsia="Times New Roman" w:hAnsi="Times New Roman" w:cs="Times New Roman"/>
                <w:b/>
                <w:noProof/>
                <w:szCs w:val="24"/>
                <w:lang w:eastAsia="en-GB"/>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9376" behindDoc="0" locked="0" layoutInCell="1" allowOverlap="1" wp14:anchorId="53F1FD42" wp14:editId="058D9E34">
                      <wp:simplePos x="0" y="0"/>
                      <wp:positionH relativeFrom="column">
                        <wp:posOffset>720725</wp:posOffset>
                      </wp:positionH>
                      <wp:positionV relativeFrom="paragraph">
                        <wp:posOffset>88900</wp:posOffset>
                      </wp:positionV>
                      <wp:extent cx="90805" cy="90805"/>
                      <wp:effectExtent l="0" t="0" r="23495" b="23495"/>
                      <wp:wrapNone/>
                      <wp:docPr id="60" name="Rettango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E9D500" id="Rettangolo 60" o:spid="_x0000_s1026" style="position:absolute;margin-left:56.75pt;margin-top:7pt;width:7.1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2IHA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8352" behindDoc="0" locked="0" layoutInCell="1" allowOverlap="1" wp14:anchorId="24FAE079" wp14:editId="4782428C">
                      <wp:simplePos x="0" y="0"/>
                      <wp:positionH relativeFrom="column">
                        <wp:posOffset>191770</wp:posOffset>
                      </wp:positionH>
                      <wp:positionV relativeFrom="paragraph">
                        <wp:posOffset>88900</wp:posOffset>
                      </wp:positionV>
                      <wp:extent cx="90805" cy="90805"/>
                      <wp:effectExtent l="0" t="0" r="23495" b="23495"/>
                      <wp:wrapNone/>
                      <wp:docPr id="61" name="Rettango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D946B0" id="Rettangolo 61" o:spid="_x0000_s1026" style="position:absolute;margin-left:15.1pt;margin-top:7pt;width:7.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"/>
                  </w:pict>
                </mc:Fallback>
              </mc:AlternateContent>
            </w:r>
            <w:r w:rsidRPr="00955A9B">
              <w:rPr>
                <w:rFonts w:ascii="Times New Roman" w:eastAsia="Times New Roman" w:hAnsi="Times New Roman" w:cs="Times New Roman"/>
                <w:b/>
                <w:szCs w:val="24"/>
                <w:lang w:eastAsia="it-IT"/>
              </w:rPr>
              <w:t>SI        NO</w:t>
            </w:r>
          </w:p>
        </w:tc>
      </w:tr>
      <w:tr w:rsidR="00955A9B" w:rsidRPr="00955A9B" w14:paraId="0CCB7A7C" w14:textId="77777777" w:rsidTr="00AE73EE">
        <w:tc>
          <w:tcPr>
            <w:tcW w:w="6858" w:type="dxa"/>
            <w:shd w:val="clear" w:color="auto" w:fill="auto"/>
          </w:tcPr>
          <w:p w14:paraId="79D49BC5" w14:textId="77777777" w:rsidR="00955A9B" w:rsidRPr="00955A9B" w:rsidRDefault="00955A9B" w:rsidP="00955A9B">
            <w:pPr>
              <w:spacing w:before="100" w:after="40" w:line="360" w:lineRule="auto"/>
              <w:rPr>
                <w:rFonts w:ascii="Times New Roman" w:eastAsia="Times New Roman" w:hAnsi="Times New Roman" w:cs="Times New Roman"/>
                <w:noProof/>
                <w:szCs w:val="24"/>
                <w:lang w:eastAsia="en-GB"/>
              </w:rPr>
            </w:pPr>
            <w:r w:rsidRPr="00955A9B">
              <w:rPr>
                <w:rFonts w:ascii="Times New Roman" w:eastAsia="Times New Roman" w:hAnsi="Times New Roman" w:cs="Times New Roman"/>
                <w:noProof/>
                <w:szCs w:val="24"/>
                <w:lang w:eastAsia="en-GB"/>
              </w:rPr>
              <w:t>Disponibilità di campione biologico alla progressione dall’ultima terapia (solo per pazienti pre-trattati)</w:t>
            </w:r>
          </w:p>
        </w:tc>
        <w:tc>
          <w:tcPr>
            <w:tcW w:w="2889" w:type="dxa"/>
            <w:shd w:val="clear" w:color="auto" w:fill="auto"/>
          </w:tcPr>
          <w:p w14:paraId="6C68D54A" w14:textId="77777777" w:rsidR="00955A9B" w:rsidRPr="00955A9B" w:rsidRDefault="00955A9B" w:rsidP="00955A9B">
            <w:pPr>
              <w:spacing w:before="60" w:after="60" w:line="360" w:lineRule="auto"/>
              <w:rPr>
                <w:rFonts w:ascii="Times New Roman" w:eastAsia="Times New Roman" w:hAnsi="Times New Roman" w:cs="Times New Roman"/>
                <w:b/>
                <w:noProof/>
                <w:szCs w:val="24"/>
                <w:lang w:eastAsia="en-GB"/>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51424" behindDoc="0" locked="0" layoutInCell="1" allowOverlap="1" wp14:anchorId="6B3FBE5D" wp14:editId="0776D6E5">
                      <wp:simplePos x="0" y="0"/>
                      <wp:positionH relativeFrom="column">
                        <wp:posOffset>729615</wp:posOffset>
                      </wp:positionH>
                      <wp:positionV relativeFrom="paragraph">
                        <wp:posOffset>92075</wp:posOffset>
                      </wp:positionV>
                      <wp:extent cx="90805" cy="90805"/>
                      <wp:effectExtent l="0" t="0" r="23495" b="23495"/>
                      <wp:wrapNone/>
                      <wp:docPr id="62" name="Rettango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3AAAE9" id="Rettangolo 62" o:spid="_x0000_s1026" style="position:absolute;margin-left:57.45pt;margin-top:7.25pt;width:7.1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BN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Jp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50400" behindDoc="0" locked="0" layoutInCell="1" allowOverlap="1" wp14:anchorId="751ED240" wp14:editId="3A74D0E5">
                      <wp:simplePos x="0" y="0"/>
                      <wp:positionH relativeFrom="column">
                        <wp:posOffset>186690</wp:posOffset>
                      </wp:positionH>
                      <wp:positionV relativeFrom="paragraph">
                        <wp:posOffset>92075</wp:posOffset>
                      </wp:positionV>
                      <wp:extent cx="90805" cy="90805"/>
                      <wp:effectExtent l="0" t="0" r="23495" b="23495"/>
                      <wp:wrapNone/>
                      <wp:docPr id="63" name="Rettango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E25BAC" id="Rettangolo 63" o:spid="_x0000_s1026" style="position:absolute;margin-left:14.7pt;margin-top:7.25pt;width:7.1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"/>
                  </w:pict>
                </mc:Fallback>
              </mc:AlternateContent>
            </w:r>
            <w:r w:rsidRPr="00955A9B">
              <w:rPr>
                <w:rFonts w:ascii="Times New Roman" w:eastAsia="Times New Roman" w:hAnsi="Times New Roman" w:cs="Times New Roman"/>
                <w:b/>
                <w:szCs w:val="24"/>
                <w:lang w:eastAsia="it-IT"/>
              </w:rPr>
              <w:t>SI        NO</w:t>
            </w:r>
          </w:p>
        </w:tc>
      </w:tr>
    </w:tbl>
    <w:p w14:paraId="7526B199" w14:textId="77777777" w:rsidR="00955A9B" w:rsidRPr="00955A9B" w:rsidRDefault="00955A9B" w:rsidP="00955A9B">
      <w:pPr>
        <w:overflowPunct w:val="0"/>
        <w:autoSpaceDE w:val="0"/>
        <w:autoSpaceDN w:val="0"/>
        <w:adjustRightInd w:val="0"/>
        <w:spacing w:after="0" w:line="360" w:lineRule="auto"/>
        <w:rPr>
          <w:rFonts w:ascii="Times New Roman" w:eastAsia="Times New Roman" w:hAnsi="Times New Roman" w:cs="Times New Roman"/>
          <w:b/>
          <w:noProof/>
          <w:szCs w:val="24"/>
          <w:lang w:eastAsia="en-GB"/>
        </w:rPr>
      </w:pPr>
    </w:p>
    <w:p w14:paraId="68783084" w14:textId="77777777" w:rsidR="00955A9B" w:rsidRPr="00955A9B" w:rsidRDefault="00955A9B" w:rsidP="00955A9B">
      <w:pPr>
        <w:overflowPunct w:val="0"/>
        <w:autoSpaceDE w:val="0"/>
        <w:autoSpaceDN w:val="0"/>
        <w:adjustRightInd w:val="0"/>
        <w:spacing w:after="0" w:line="360" w:lineRule="auto"/>
        <w:rPr>
          <w:rFonts w:ascii="Times New Roman" w:eastAsia="Times New Roman" w:hAnsi="Times New Roman" w:cs="Times New Roman"/>
          <w:b/>
          <w:noProof/>
          <w:szCs w:val="24"/>
          <w:lang w:eastAsia="en-GB"/>
        </w:rPr>
      </w:pPr>
    </w:p>
    <w:tbl>
      <w:tblPr>
        <w:tblpPr w:leftFromText="180" w:rightFromText="180" w:vertAnchor="text" w:horzAnchor="margin" w:tblpY="171"/>
        <w:tblW w:w="9710" w:type="dxa"/>
        <w:tblLayout w:type="fixed"/>
        <w:tblCellMar>
          <w:left w:w="71" w:type="dxa"/>
          <w:right w:w="71" w:type="dxa"/>
        </w:tblCellMar>
        <w:tblLook w:val="0000" w:firstRow="0" w:lastRow="0" w:firstColumn="0" w:lastColumn="0" w:noHBand="0" w:noVBand="0"/>
      </w:tblPr>
      <w:tblGrid>
        <w:gridCol w:w="4607"/>
        <w:gridCol w:w="5103"/>
      </w:tblGrid>
      <w:tr w:rsidR="00955A9B" w:rsidRPr="00955A9B" w14:paraId="64EF2E69" w14:textId="77777777" w:rsidTr="00AE73EE">
        <w:trPr>
          <w:cantSplit/>
        </w:trPr>
        <w:tc>
          <w:tcPr>
            <w:tcW w:w="9710" w:type="dxa"/>
            <w:gridSpan w:val="2"/>
            <w:tcBorders>
              <w:top w:val="single" w:sz="2" w:space="0" w:color="auto"/>
              <w:left w:val="single" w:sz="6" w:space="0" w:color="auto"/>
              <w:bottom w:val="single" w:sz="2" w:space="0" w:color="auto"/>
              <w:right w:val="single" w:sz="6" w:space="0" w:color="auto"/>
            </w:tcBorders>
          </w:tcPr>
          <w:p w14:paraId="65EA348F"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b/>
                <w:szCs w:val="24"/>
                <w:lang w:eastAsia="it-IT"/>
              </w:rPr>
              <w:t>Patologia</w:t>
            </w:r>
          </w:p>
        </w:tc>
      </w:tr>
      <w:tr w:rsidR="00955A9B" w:rsidRPr="00955A9B" w14:paraId="5A488AA6" w14:textId="77777777" w:rsidTr="00AE73EE">
        <w:trPr>
          <w:cantSplit/>
        </w:trPr>
        <w:tc>
          <w:tcPr>
            <w:tcW w:w="9710" w:type="dxa"/>
            <w:gridSpan w:val="2"/>
            <w:tcBorders>
              <w:top w:val="single" w:sz="2" w:space="0" w:color="auto"/>
              <w:left w:val="single" w:sz="6" w:space="0" w:color="auto"/>
              <w:bottom w:val="single" w:sz="2" w:space="0" w:color="auto"/>
              <w:right w:val="single" w:sz="6" w:space="0" w:color="auto"/>
            </w:tcBorders>
          </w:tcPr>
          <w:p w14:paraId="46D45187" w14:textId="77777777" w:rsidR="00955A9B" w:rsidRPr="00955A9B" w:rsidRDefault="00955A9B" w:rsidP="00955A9B">
            <w:pPr>
              <w:spacing w:before="60" w:after="60" w:line="360" w:lineRule="auto"/>
              <w:rPr>
                <w:rFonts w:ascii="Times New Roman" w:eastAsia="Times New Roman" w:hAnsi="Times New Roman" w:cs="Times New Roman"/>
                <w:szCs w:val="24"/>
                <w:lang w:eastAsia="it-IT"/>
              </w:rPr>
            </w:pPr>
            <w:r w:rsidRPr="00955A9B">
              <w:rPr>
                <w:rFonts w:ascii="Times New Roman" w:eastAsia="Times New Roman" w:hAnsi="Times New Roman" w:cs="Times New Roman"/>
                <w:szCs w:val="24"/>
                <w:lang w:eastAsia="it-IT"/>
              </w:rPr>
              <w:t>Sede Tumore Primitivo</w:t>
            </w:r>
          </w:p>
        </w:tc>
      </w:tr>
      <w:tr w:rsidR="00955A9B" w:rsidRPr="00955A9B" w14:paraId="7872C686" w14:textId="77777777" w:rsidTr="00AE73EE">
        <w:trPr>
          <w:cantSplit/>
        </w:trPr>
        <w:tc>
          <w:tcPr>
            <w:tcW w:w="9710" w:type="dxa"/>
            <w:gridSpan w:val="2"/>
            <w:tcBorders>
              <w:top w:val="single" w:sz="2" w:space="0" w:color="auto"/>
              <w:left w:val="single" w:sz="6" w:space="0" w:color="auto"/>
              <w:bottom w:val="single" w:sz="2" w:space="0" w:color="auto"/>
              <w:right w:val="single" w:sz="6" w:space="0" w:color="auto"/>
            </w:tcBorders>
          </w:tcPr>
          <w:p w14:paraId="2BFBDDA5" w14:textId="77777777" w:rsidR="00955A9B" w:rsidRPr="00955A9B" w:rsidRDefault="00955A9B" w:rsidP="00955A9B">
            <w:pPr>
              <w:spacing w:before="60" w:after="60" w:line="360" w:lineRule="auto"/>
              <w:rPr>
                <w:rFonts w:ascii="Times New Roman" w:eastAsia="Times New Roman" w:hAnsi="Times New Roman" w:cs="Times New Roman"/>
                <w:szCs w:val="24"/>
                <w:lang w:eastAsia="it-IT"/>
              </w:rPr>
            </w:pPr>
            <w:r w:rsidRPr="00955A9B">
              <w:rPr>
                <w:rFonts w:ascii="Times New Roman" w:eastAsia="Times New Roman" w:hAnsi="Times New Roman" w:cs="Times New Roman"/>
                <w:szCs w:val="24"/>
                <w:lang w:eastAsia="it-IT"/>
              </w:rPr>
              <w:t>Istologia</w:t>
            </w:r>
          </w:p>
        </w:tc>
      </w:tr>
      <w:tr w:rsidR="00955A9B" w:rsidRPr="00955A9B" w14:paraId="668AB473" w14:textId="77777777" w:rsidTr="00AE73EE">
        <w:trPr>
          <w:cantSplit/>
        </w:trPr>
        <w:tc>
          <w:tcPr>
            <w:tcW w:w="9710" w:type="dxa"/>
            <w:gridSpan w:val="2"/>
            <w:tcBorders>
              <w:top w:val="single" w:sz="2" w:space="0" w:color="auto"/>
              <w:left w:val="single" w:sz="6" w:space="0" w:color="auto"/>
              <w:bottom w:val="single" w:sz="6" w:space="0" w:color="auto"/>
              <w:right w:val="single" w:sz="6" w:space="0" w:color="auto"/>
            </w:tcBorders>
          </w:tcPr>
          <w:p w14:paraId="6636FCBC" w14:textId="77777777" w:rsidR="00955A9B" w:rsidRPr="00955A9B" w:rsidRDefault="00955A9B" w:rsidP="00955A9B">
            <w:pPr>
              <w:spacing w:before="60" w:after="60" w:line="360" w:lineRule="auto"/>
              <w:rPr>
                <w:rFonts w:ascii="Times New Roman" w:eastAsia="Times New Roman" w:hAnsi="Times New Roman" w:cs="Times New Roman"/>
                <w:szCs w:val="24"/>
                <w:lang w:eastAsia="it-IT"/>
              </w:rPr>
            </w:pPr>
            <w:r w:rsidRPr="00955A9B">
              <w:rPr>
                <w:rFonts w:ascii="Times New Roman" w:eastAsia="Times New Roman" w:hAnsi="Times New Roman" w:cs="Times New Roman"/>
                <w:szCs w:val="24"/>
                <w:lang w:eastAsia="it-IT"/>
              </w:rPr>
              <w:t>Sedi malattia</w:t>
            </w:r>
          </w:p>
        </w:tc>
      </w:tr>
      <w:tr w:rsidR="00955A9B" w:rsidRPr="00955A9B" w14:paraId="166DEB3B" w14:textId="77777777" w:rsidTr="00AE73EE">
        <w:trPr>
          <w:cantSplit/>
        </w:trPr>
        <w:tc>
          <w:tcPr>
            <w:tcW w:w="4607" w:type="dxa"/>
            <w:tcBorders>
              <w:top w:val="single" w:sz="6" w:space="0" w:color="auto"/>
              <w:left w:val="single" w:sz="6" w:space="0" w:color="auto"/>
              <w:bottom w:val="single" w:sz="6" w:space="0" w:color="auto"/>
              <w:right w:val="single" w:sz="6" w:space="0" w:color="auto"/>
            </w:tcBorders>
          </w:tcPr>
          <w:p w14:paraId="72399F27" w14:textId="77777777" w:rsidR="00955A9B" w:rsidRPr="00955A9B" w:rsidRDefault="00955A9B" w:rsidP="00955A9B">
            <w:pPr>
              <w:spacing w:before="60" w:after="60" w:line="360" w:lineRule="auto"/>
              <w:rPr>
                <w:rFonts w:ascii="Times New Roman" w:eastAsia="Times New Roman" w:hAnsi="Times New Roman" w:cs="Times New Roman"/>
                <w:szCs w:val="24"/>
                <w:lang w:eastAsia="it-IT"/>
              </w:rPr>
            </w:pPr>
            <w:r w:rsidRPr="00955A9B">
              <w:rPr>
                <w:rFonts w:ascii="Times New Roman" w:eastAsia="Times New Roman" w:hAnsi="Times New Roman" w:cs="Times New Roman"/>
                <w:szCs w:val="24"/>
                <w:lang w:eastAsia="it-IT"/>
              </w:rPr>
              <w:t xml:space="preserve">Intervento chirurgico su primitivo </w:t>
            </w:r>
          </w:p>
        </w:tc>
        <w:tc>
          <w:tcPr>
            <w:tcW w:w="5103" w:type="dxa"/>
            <w:tcBorders>
              <w:top w:val="single" w:sz="6" w:space="0" w:color="auto"/>
              <w:left w:val="single" w:sz="6" w:space="0" w:color="auto"/>
              <w:bottom w:val="single" w:sz="2" w:space="0" w:color="auto"/>
              <w:right w:val="single" w:sz="6" w:space="0" w:color="auto"/>
            </w:tcBorders>
          </w:tcPr>
          <w:p w14:paraId="279B9348"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39136" behindDoc="0" locked="0" layoutInCell="1" allowOverlap="1" wp14:anchorId="2E7EAD8B" wp14:editId="4CD48ADB">
                      <wp:simplePos x="0" y="0"/>
                      <wp:positionH relativeFrom="column">
                        <wp:posOffset>2190115</wp:posOffset>
                      </wp:positionH>
                      <wp:positionV relativeFrom="paragraph">
                        <wp:posOffset>87630</wp:posOffset>
                      </wp:positionV>
                      <wp:extent cx="90805" cy="90805"/>
                      <wp:effectExtent l="0" t="0" r="23495" b="23495"/>
                      <wp:wrapNone/>
                      <wp:docPr id="64" name="Rettango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A28058" id="Rettangolo 64" o:spid="_x0000_s1026" style="position:absolute;margin-left:172.45pt;margin-top:6.9pt;width:7.15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bY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pp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40160" behindDoc="0" locked="0" layoutInCell="1" allowOverlap="1" wp14:anchorId="10DFD9D7" wp14:editId="76B4BE41">
                      <wp:simplePos x="0" y="0"/>
                      <wp:positionH relativeFrom="column">
                        <wp:posOffset>743585</wp:posOffset>
                      </wp:positionH>
                      <wp:positionV relativeFrom="paragraph">
                        <wp:posOffset>87630</wp:posOffset>
                      </wp:positionV>
                      <wp:extent cx="90805" cy="90805"/>
                      <wp:effectExtent l="0" t="0" r="23495" b="23495"/>
                      <wp:wrapNone/>
                      <wp:docPr id="65" name="Rettango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8DF644" id="Rettangolo 65" o:spid="_x0000_s1026" style="position:absolute;margin-left:58.55pt;margin-top:6.9pt;width:7.1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i6HA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"/>
                  </w:pict>
                </mc:Fallback>
              </mc:AlternateContent>
            </w:r>
            <w:r w:rsidRPr="00955A9B">
              <w:rPr>
                <w:rFonts w:ascii="Times New Roman" w:eastAsia="Times New Roman" w:hAnsi="Times New Roman" w:cs="Times New Roman"/>
                <w:b/>
                <w:szCs w:val="24"/>
                <w:lang w:eastAsia="it-IT"/>
              </w:rPr>
              <w:t xml:space="preserve">             SI                             NO</w:t>
            </w:r>
          </w:p>
        </w:tc>
      </w:tr>
      <w:tr w:rsidR="00955A9B" w:rsidRPr="00955A9B" w14:paraId="4CB2D49B" w14:textId="77777777" w:rsidTr="00AE73EE">
        <w:trPr>
          <w:cantSplit/>
        </w:trPr>
        <w:tc>
          <w:tcPr>
            <w:tcW w:w="4607" w:type="dxa"/>
            <w:tcBorders>
              <w:top w:val="single" w:sz="6" w:space="0" w:color="auto"/>
              <w:left w:val="single" w:sz="6" w:space="0" w:color="auto"/>
              <w:bottom w:val="single" w:sz="6" w:space="0" w:color="auto"/>
              <w:right w:val="single" w:sz="6" w:space="0" w:color="auto"/>
            </w:tcBorders>
          </w:tcPr>
          <w:p w14:paraId="11E5E125" w14:textId="77777777" w:rsidR="00955A9B" w:rsidRPr="00955A9B" w:rsidRDefault="00955A9B" w:rsidP="00955A9B">
            <w:pPr>
              <w:spacing w:before="60" w:after="60" w:line="360" w:lineRule="auto"/>
              <w:rPr>
                <w:rFonts w:ascii="Times New Roman" w:eastAsia="Times New Roman" w:hAnsi="Times New Roman" w:cs="Times New Roman"/>
                <w:szCs w:val="24"/>
                <w:lang w:eastAsia="it-IT"/>
              </w:rPr>
            </w:pPr>
            <w:r w:rsidRPr="00955A9B">
              <w:rPr>
                <w:rFonts w:ascii="Times New Roman" w:eastAsia="Times New Roman" w:hAnsi="Times New Roman" w:cs="Times New Roman"/>
                <w:szCs w:val="24"/>
                <w:lang w:eastAsia="it-IT"/>
              </w:rPr>
              <w:t>Il paziente presenta comorbidità</w:t>
            </w:r>
            <w:r w:rsidRPr="00955A9B">
              <w:rPr>
                <w:rFonts w:ascii="Times New Roman" w:eastAsia="Times New Roman" w:hAnsi="Times New Roman" w:cs="Times New Roman"/>
                <w:bCs/>
                <w:szCs w:val="24"/>
                <w:lang w:eastAsia="it-IT"/>
              </w:rPr>
              <w:t xml:space="preserve">      </w:t>
            </w:r>
            <w:r w:rsidRPr="00955A9B">
              <w:rPr>
                <w:rFonts w:ascii="Times New Roman" w:eastAsia="Times New Roman" w:hAnsi="Times New Roman" w:cs="Times New Roman"/>
                <w:szCs w:val="24"/>
                <w:lang w:eastAsia="it-IT"/>
              </w:rPr>
              <w:t xml:space="preserve">      </w:t>
            </w:r>
            <w:r w:rsidRPr="00955A9B">
              <w:rPr>
                <w:rFonts w:ascii="Times New Roman" w:eastAsia="Times New Roman" w:hAnsi="Times New Roman" w:cs="Times New Roman"/>
                <w:bCs/>
                <w:szCs w:val="24"/>
                <w:lang w:eastAsia="it-IT"/>
              </w:rPr>
              <w:t xml:space="preserve">                           </w:t>
            </w:r>
          </w:p>
        </w:tc>
        <w:tc>
          <w:tcPr>
            <w:tcW w:w="5103" w:type="dxa"/>
            <w:tcBorders>
              <w:top w:val="single" w:sz="2" w:space="0" w:color="auto"/>
              <w:left w:val="single" w:sz="6" w:space="0" w:color="auto"/>
              <w:bottom w:val="single" w:sz="6" w:space="0" w:color="auto"/>
              <w:right w:val="single" w:sz="6" w:space="0" w:color="auto"/>
            </w:tcBorders>
          </w:tcPr>
          <w:p w14:paraId="3AFB1073"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53472" behindDoc="0" locked="0" layoutInCell="1" allowOverlap="1" wp14:anchorId="0EF3C9D0" wp14:editId="3991F054">
                      <wp:simplePos x="0" y="0"/>
                      <wp:positionH relativeFrom="column">
                        <wp:posOffset>2167890</wp:posOffset>
                      </wp:positionH>
                      <wp:positionV relativeFrom="paragraph">
                        <wp:posOffset>78105</wp:posOffset>
                      </wp:positionV>
                      <wp:extent cx="90805" cy="90805"/>
                      <wp:effectExtent l="0" t="0" r="23495" b="23495"/>
                      <wp:wrapNone/>
                      <wp:docPr id="66" name="Rettango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91B1A8" id="Rettangolo 66" o:spid="_x0000_s1026" style="position:absolute;margin-left:170.7pt;margin-top:6.15pt;width:7.15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52448" behindDoc="0" locked="0" layoutInCell="1" allowOverlap="1" wp14:anchorId="2EBD9019" wp14:editId="394DD0CB">
                      <wp:simplePos x="0" y="0"/>
                      <wp:positionH relativeFrom="column">
                        <wp:posOffset>743585</wp:posOffset>
                      </wp:positionH>
                      <wp:positionV relativeFrom="paragraph">
                        <wp:posOffset>83185</wp:posOffset>
                      </wp:positionV>
                      <wp:extent cx="90805" cy="90805"/>
                      <wp:effectExtent l="0" t="0" r="23495" b="23495"/>
                      <wp:wrapNone/>
                      <wp:docPr id="67" name="Rettango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796000" id="Rettangolo 67" o:spid="_x0000_s1026" style="position:absolute;margin-left:58.55pt;margin-top:6.55pt;width:7.1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"/>
                  </w:pict>
                </mc:Fallback>
              </mc:AlternateContent>
            </w:r>
            <w:r w:rsidRPr="00955A9B">
              <w:rPr>
                <w:rFonts w:ascii="Times New Roman" w:eastAsia="Times New Roman" w:hAnsi="Times New Roman" w:cs="Times New Roman"/>
                <w:b/>
                <w:bCs/>
                <w:szCs w:val="24"/>
                <w:lang w:eastAsia="it-IT"/>
              </w:rPr>
              <w:t xml:space="preserve">              SI                                NO</w:t>
            </w:r>
          </w:p>
        </w:tc>
      </w:tr>
      <w:tr w:rsidR="00955A9B" w:rsidRPr="00955A9B" w14:paraId="404296C0" w14:textId="77777777" w:rsidTr="00AE73EE">
        <w:trPr>
          <w:cantSplit/>
          <w:trHeight w:val="1015"/>
        </w:trPr>
        <w:tc>
          <w:tcPr>
            <w:tcW w:w="9710" w:type="dxa"/>
            <w:gridSpan w:val="2"/>
            <w:tcBorders>
              <w:top w:val="single" w:sz="6" w:space="0" w:color="auto"/>
              <w:left w:val="single" w:sz="6" w:space="0" w:color="auto"/>
              <w:bottom w:val="single" w:sz="2" w:space="0" w:color="auto"/>
              <w:right w:val="single" w:sz="6" w:space="0" w:color="auto"/>
            </w:tcBorders>
          </w:tcPr>
          <w:p w14:paraId="03932D6E" w14:textId="77777777" w:rsidR="00955A9B" w:rsidRPr="00955A9B" w:rsidRDefault="00955A9B" w:rsidP="00955A9B">
            <w:pPr>
              <w:spacing w:before="60" w:after="60" w:line="360" w:lineRule="auto"/>
              <w:rPr>
                <w:rFonts w:ascii="Times New Roman" w:eastAsia="Times New Roman" w:hAnsi="Times New Roman" w:cs="Times New Roman"/>
                <w:szCs w:val="24"/>
                <w:lang w:eastAsia="it-IT"/>
              </w:rPr>
            </w:pPr>
            <w:r w:rsidRPr="00955A9B">
              <w:rPr>
                <w:rFonts w:ascii="Times New Roman" w:eastAsia="Times New Roman" w:hAnsi="Times New Roman" w:cs="Times New Roman"/>
                <w:bCs/>
                <w:szCs w:val="24"/>
                <w:lang w:eastAsia="it-IT"/>
              </w:rPr>
              <w:t xml:space="preserve">Se si, indicare quali: </w:t>
            </w:r>
          </w:p>
        </w:tc>
      </w:tr>
      <w:tr w:rsidR="00955A9B" w:rsidRPr="00955A9B" w14:paraId="3C513C84" w14:textId="77777777" w:rsidTr="00AE73EE">
        <w:trPr>
          <w:cantSplit/>
        </w:trPr>
        <w:tc>
          <w:tcPr>
            <w:tcW w:w="4607" w:type="dxa"/>
            <w:tcBorders>
              <w:top w:val="single" w:sz="2" w:space="0" w:color="auto"/>
              <w:left w:val="single" w:sz="6" w:space="0" w:color="auto"/>
              <w:bottom w:val="single" w:sz="2" w:space="0" w:color="auto"/>
              <w:right w:val="single" w:sz="6" w:space="0" w:color="auto"/>
            </w:tcBorders>
          </w:tcPr>
          <w:p w14:paraId="559E09A8" w14:textId="77777777" w:rsidR="00955A9B" w:rsidRPr="00955A9B" w:rsidRDefault="00955A9B" w:rsidP="00955A9B">
            <w:pPr>
              <w:spacing w:before="60" w:after="60" w:line="360" w:lineRule="auto"/>
              <w:rPr>
                <w:rFonts w:ascii="Times New Roman" w:eastAsia="Times New Roman" w:hAnsi="Times New Roman" w:cs="Times New Roman"/>
                <w:bCs/>
                <w:szCs w:val="24"/>
                <w:lang w:eastAsia="it-IT"/>
              </w:rPr>
            </w:pPr>
            <w:r w:rsidRPr="00955A9B">
              <w:rPr>
                <w:rFonts w:ascii="Times New Roman" w:eastAsia="Times New Roman" w:hAnsi="Times New Roman" w:cs="Times New Roman"/>
                <w:szCs w:val="24"/>
                <w:lang w:eastAsia="it-IT"/>
              </w:rPr>
              <w:t xml:space="preserve">Si tratta di un paziente Naïve </w:t>
            </w:r>
          </w:p>
        </w:tc>
        <w:tc>
          <w:tcPr>
            <w:tcW w:w="5103" w:type="dxa"/>
            <w:tcBorders>
              <w:top w:val="single" w:sz="2" w:space="0" w:color="auto"/>
              <w:left w:val="single" w:sz="6" w:space="0" w:color="auto"/>
              <w:bottom w:val="single" w:sz="2" w:space="0" w:color="auto"/>
              <w:right w:val="single" w:sz="6" w:space="0" w:color="auto"/>
            </w:tcBorders>
          </w:tcPr>
          <w:p w14:paraId="2AE55DEE" w14:textId="77777777" w:rsidR="00955A9B" w:rsidRPr="00955A9B" w:rsidRDefault="00955A9B" w:rsidP="00955A9B">
            <w:pPr>
              <w:spacing w:before="60" w:after="60" w:line="360" w:lineRule="auto"/>
              <w:rPr>
                <w:rFonts w:ascii="Times New Roman" w:eastAsia="Times New Roman" w:hAnsi="Times New Roman" w:cs="Times New Roman"/>
                <w:b/>
                <w:szCs w:val="24"/>
                <w:lang w:eastAsia="it-IT"/>
              </w:rPr>
            </w:pP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55520" behindDoc="0" locked="0" layoutInCell="1" allowOverlap="1" wp14:anchorId="794FE10C" wp14:editId="08797962">
                      <wp:simplePos x="0" y="0"/>
                      <wp:positionH relativeFrom="column">
                        <wp:posOffset>2190115</wp:posOffset>
                      </wp:positionH>
                      <wp:positionV relativeFrom="paragraph">
                        <wp:posOffset>83820</wp:posOffset>
                      </wp:positionV>
                      <wp:extent cx="90805" cy="90805"/>
                      <wp:effectExtent l="0" t="0" r="23495" b="23495"/>
                      <wp:wrapNone/>
                      <wp:docPr id="68" name="Rettango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A7865E" id="Rettangolo 68" o:spid="_x0000_s1026" style="position:absolute;margin-left:172.45pt;margin-top:6.6pt;width:7.1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"/>
                  </w:pict>
                </mc:Fallback>
              </mc:AlternateContent>
            </w:r>
            <w:r w:rsidRPr="00955A9B">
              <w:rPr>
                <w:rFonts w:ascii="Times New Roman" w:eastAsia="Times New Roman" w:hAnsi="Times New Roman" w:cs="Times New Roman"/>
                <w:noProof/>
                <w:szCs w:val="24"/>
                <w:lang w:eastAsia="it-IT"/>
              </w:rPr>
              <mc:AlternateContent>
                <mc:Choice Requires="wps">
                  <w:drawing>
                    <wp:anchor distT="0" distB="0" distL="114300" distR="114300" simplePos="0" relativeHeight="251754496" behindDoc="0" locked="0" layoutInCell="1" allowOverlap="1" wp14:anchorId="373246FF" wp14:editId="1EDA666D">
                      <wp:simplePos x="0" y="0"/>
                      <wp:positionH relativeFrom="column">
                        <wp:posOffset>775335</wp:posOffset>
                      </wp:positionH>
                      <wp:positionV relativeFrom="paragraph">
                        <wp:posOffset>83820</wp:posOffset>
                      </wp:positionV>
                      <wp:extent cx="90805" cy="90805"/>
                      <wp:effectExtent l="0" t="0" r="23495" b="23495"/>
                      <wp:wrapNone/>
                      <wp:docPr id="69" name="Rettango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29CB81" id="Rettangolo 69" o:spid="_x0000_s1026" style="position:absolute;margin-left:61.05pt;margin-top:6.6pt;width:7.1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"/>
                  </w:pict>
                </mc:Fallback>
              </mc:AlternateContent>
            </w:r>
            <w:r w:rsidRPr="00955A9B">
              <w:rPr>
                <w:rFonts w:ascii="Times New Roman" w:eastAsia="Times New Roman" w:hAnsi="Times New Roman" w:cs="Times New Roman"/>
                <w:b/>
                <w:bCs/>
                <w:szCs w:val="24"/>
                <w:lang w:eastAsia="it-IT"/>
              </w:rPr>
              <w:t xml:space="preserve">              SI                             NO</w:t>
            </w:r>
          </w:p>
        </w:tc>
      </w:tr>
    </w:tbl>
    <w:p w14:paraId="138B719E" w14:textId="77777777" w:rsidR="00955A9B" w:rsidRPr="00955A9B" w:rsidRDefault="00955A9B" w:rsidP="00955A9B">
      <w:pPr>
        <w:spacing w:after="0" w:line="360" w:lineRule="auto"/>
        <w:rPr>
          <w:rFonts w:ascii="Times New Roman" w:eastAsia="Times New Roman" w:hAnsi="Times New Roman" w:cs="Times New Roman"/>
          <w:b/>
          <w:szCs w:val="24"/>
          <w:lang w:eastAsia="it-IT"/>
        </w:rPr>
      </w:pPr>
    </w:p>
    <w:p w14:paraId="67926FD2" w14:textId="77777777" w:rsidR="00955A9B" w:rsidRPr="00955A9B" w:rsidRDefault="00955A9B" w:rsidP="00955A9B">
      <w:pPr>
        <w:spacing w:after="0" w:line="360" w:lineRule="auto"/>
        <w:jc w:val="both"/>
        <w:rPr>
          <w:rFonts w:ascii="Times New Roman" w:eastAsia="Times New Roman" w:hAnsi="Times New Roman" w:cs="Times New Roman"/>
          <w:b/>
          <w:sz w:val="24"/>
          <w:szCs w:val="24"/>
          <w:lang w:eastAsia="it-IT"/>
        </w:rPr>
      </w:pPr>
    </w:p>
    <w:p w14:paraId="77D8B8AE"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b/>
          <w:sz w:val="24"/>
          <w:szCs w:val="24"/>
          <w:lang w:eastAsia="it-IT"/>
        </w:rPr>
        <w:t>Ruolo dei Medici di Medina Generale (MMG) nei GOM</w:t>
      </w:r>
    </w:p>
    <w:p w14:paraId="5031F2E8"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 xml:space="preserve">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 </w:t>
      </w:r>
    </w:p>
    <w:p w14:paraId="27408653"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Tutti i MMG possono entrare a far parte della Rete Oncologica Campana (ROC) e ottenere le credenziali di accesso alla piattaforma ROC.</w:t>
      </w:r>
    </w:p>
    <w:p w14:paraId="716DE209"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Una volta ottenute le credenziali, essi potranno segnalare nuovi casi ai Gruppi Oncologici Multidisciplinari (GOM) della Rete.</w:t>
      </w:r>
    </w:p>
    <w:p w14:paraId="1F8562D7"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14:paraId="5B2D976A"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La presa in carico del paziente viene eseguita dal case manager entro sette giorni dalla segnalazione, ma il MMG può comunque sempre verificare l’avvenuta presa in carico di un proprio assistito attraverso la piattaforma ROC.</w:t>
      </w:r>
    </w:p>
    <w:p w14:paraId="7F169805"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14:paraId="20D2E1D8"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 xml:space="preserve">Qualora, però, il MMG non partecipi alla riunione multidisciplinare, può accedere tramite la piattaforma ROC, al verbale del GOM di un paziente segnalato da loro, venendo, pertanto, a conoscenza del percorso diagnostico-terapeutico che un proprio assistito dovrà intraprendere. </w:t>
      </w:r>
    </w:p>
    <w:p w14:paraId="552ECFD8" w14:textId="77777777" w:rsidR="00955A9B" w:rsidRPr="00955A9B" w:rsidRDefault="00955A9B" w:rsidP="00955A9B">
      <w:pPr>
        <w:shd w:val="clear" w:color="auto" w:fill="FFFFFF"/>
        <w:spacing w:after="0" w:line="360" w:lineRule="auto"/>
        <w:jc w:val="both"/>
        <w:rPr>
          <w:rFonts w:ascii="Times New Roman" w:eastAsia="Times New Roman" w:hAnsi="Times New Roman" w:cs="Times New Roman"/>
          <w:sz w:val="24"/>
          <w:szCs w:val="24"/>
          <w:lang w:eastAsia="it-IT"/>
        </w:rPr>
      </w:pPr>
      <w:r w:rsidRPr="00955A9B">
        <w:rPr>
          <w:rFonts w:ascii="Times New Roman" w:eastAsia="Times New Roman" w:hAnsi="Times New Roman" w:cs="Times New Roman"/>
          <w:sz w:val="24"/>
          <w:szCs w:val="24"/>
          <w:lang w:eastAsia="it-IT"/>
        </w:rPr>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14:paraId="7FE86A08" w14:textId="77777777" w:rsidR="00955A9B" w:rsidRPr="00955A9B" w:rsidRDefault="00955A9B" w:rsidP="00955A9B">
      <w:pPr>
        <w:spacing w:after="0" w:line="360" w:lineRule="auto"/>
        <w:jc w:val="both"/>
        <w:rPr>
          <w:rFonts w:ascii="Times New Roman" w:eastAsia="Times New Roman" w:hAnsi="Times New Roman" w:cs="Times New Roman"/>
          <w:sz w:val="24"/>
          <w:szCs w:val="24"/>
          <w:lang w:eastAsia="it-IT"/>
        </w:rPr>
      </w:pPr>
    </w:p>
    <w:p w14:paraId="1238A993" w14:textId="77777777" w:rsidR="00955A9B" w:rsidRPr="00955A9B" w:rsidRDefault="00955A9B" w:rsidP="00955A9B">
      <w:pPr>
        <w:keepNext/>
        <w:keepLines/>
        <w:spacing w:after="111" w:line="360" w:lineRule="auto"/>
        <w:ind w:left="72" w:right="-60"/>
        <w:jc w:val="both"/>
        <w:outlineLvl w:val="0"/>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 xml:space="preserve">Procedura generale per i Tumori rari </w:t>
      </w:r>
    </w:p>
    <w:p w14:paraId="22CE18D6" w14:textId="77777777" w:rsidR="00955A9B" w:rsidRPr="00955A9B" w:rsidRDefault="00955A9B" w:rsidP="00955A9B">
      <w:pPr>
        <w:spacing w:after="5" w:line="360" w:lineRule="auto"/>
        <w:ind w:left="72" w:right="-60" w:hanging="1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In aggiunta alle procedure standard contemplate in ogni PDTA, per i pazienti affetti da tumore raro è necessario implementare le seguenti fasi: </w:t>
      </w:r>
      <w:r w:rsidRPr="00955A9B">
        <w:rPr>
          <w:rFonts w:ascii="Times New Roman" w:eastAsia="Times New Roman" w:hAnsi="Times New Roman" w:cs="Times New Roman"/>
          <w:b/>
          <w:sz w:val="24"/>
          <w:szCs w:val="24"/>
          <w:lang w:eastAsia="it-IT" w:bidi="it-IT"/>
        </w:rPr>
        <w:t>1.</w:t>
      </w:r>
      <w:r w:rsidRPr="00955A9B">
        <w:rPr>
          <w:rFonts w:ascii="Times New Roman" w:eastAsia="Arial" w:hAnsi="Times New Roman" w:cs="Times New Roman"/>
          <w:b/>
          <w:sz w:val="24"/>
          <w:szCs w:val="24"/>
          <w:lang w:eastAsia="it-IT" w:bidi="it-IT"/>
        </w:rPr>
        <w:t xml:space="preserve"> </w:t>
      </w:r>
      <w:r w:rsidRPr="00955A9B">
        <w:rPr>
          <w:rFonts w:ascii="Times New Roman" w:eastAsia="Times New Roman" w:hAnsi="Times New Roman" w:cs="Times New Roman"/>
          <w:b/>
          <w:sz w:val="24"/>
          <w:szCs w:val="24"/>
          <w:lang w:eastAsia="it-IT" w:bidi="it-IT"/>
        </w:rPr>
        <w:t xml:space="preserve">Presa in carico dei pazienti affetti da tumore raro </w:t>
      </w:r>
    </w:p>
    <w:p w14:paraId="579B9891" w14:textId="77777777" w:rsidR="00955A9B" w:rsidRPr="00955A9B" w:rsidRDefault="00955A9B" w:rsidP="00955A9B">
      <w:pPr>
        <w:spacing w:after="5" w:line="360" w:lineRule="auto"/>
        <w:ind w:left="72" w:right="-60" w:hanging="1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La presa in carico dei pazienti affetti da tumore raro avviene ad opera dei Centri User, ossia di strutture proposte a livello regionale ed attualmente in attesa di </w:t>
      </w:r>
      <w:r w:rsidRPr="00955A9B">
        <w:rPr>
          <w:rFonts w:ascii="Times New Roman" w:eastAsia="Times New Roman" w:hAnsi="Times New Roman" w:cs="Times New Roman"/>
          <w:i/>
          <w:sz w:val="24"/>
          <w:szCs w:val="24"/>
          <w:lang w:eastAsia="it-IT" w:bidi="it-IT"/>
        </w:rPr>
        <w:t>endorsement</w:t>
      </w:r>
      <w:r w:rsidRPr="00955A9B">
        <w:rPr>
          <w:rFonts w:ascii="Times New Roman" w:eastAsia="Times New Roman" w:hAnsi="Times New Roman" w:cs="Times New Roman"/>
          <w:sz w:val="24"/>
          <w:szCs w:val="24"/>
          <w:lang w:eastAsia="it-IT" w:bidi="it-IT"/>
        </w:rPr>
        <w:t xml:space="preserve"> da parte dell’AGENAS, identificate nell’ambito dei CORP e CORPUS della ROC, quali Istituzioni Sanitarie dotate di requisiti di elevata competenza ed esperienza per il trattamento dei tumori rari e che operino in stretta relazione con il Centro Regionale di Coordinamento per i </w:t>
      </w:r>
    </w:p>
    <w:p w14:paraId="0738CFD1" w14:textId="77777777" w:rsidR="00955A9B" w:rsidRPr="00955A9B" w:rsidRDefault="00955A9B" w:rsidP="00955A9B">
      <w:pPr>
        <w:spacing w:after="5" w:line="360" w:lineRule="auto"/>
        <w:ind w:left="72" w:right="-60" w:hanging="1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Tumori Rari (C.R.C.T.R.). Il CRCTR ha la funzione cardine di costituire il “nodo di riferimento” e di integrazione a livello regionale tra la Rete Nazionale dei Tumori Rari </w:t>
      </w:r>
    </w:p>
    <w:p w14:paraId="29892FF0" w14:textId="77777777" w:rsidR="00955A9B" w:rsidRPr="00955A9B" w:rsidRDefault="00955A9B" w:rsidP="00955A9B">
      <w:pPr>
        <w:spacing w:after="136" w:line="360" w:lineRule="auto"/>
        <w:ind w:left="72" w:right="-60" w:hanging="1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(RNTR) ed il network europeo ERN-EURACAN (</w:t>
      </w:r>
      <w:r w:rsidRPr="00955A9B">
        <w:rPr>
          <w:rFonts w:ascii="Times New Roman" w:eastAsia="Times New Roman" w:hAnsi="Times New Roman" w:cs="Times New Roman"/>
          <w:i/>
          <w:sz w:val="24"/>
          <w:szCs w:val="24"/>
          <w:lang w:eastAsia="it-IT" w:bidi="it-IT"/>
        </w:rPr>
        <w:t xml:space="preserve">European Reference Networks – </w:t>
      </w:r>
    </w:p>
    <w:p w14:paraId="0F00C7B5" w14:textId="77777777" w:rsidR="00955A9B" w:rsidRPr="00955A9B" w:rsidRDefault="00955A9B" w:rsidP="00955A9B">
      <w:pPr>
        <w:spacing w:after="115" w:line="360" w:lineRule="auto"/>
        <w:ind w:left="72" w:right="-60" w:hanging="1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i/>
          <w:sz w:val="24"/>
          <w:szCs w:val="24"/>
          <w:lang w:eastAsia="it-IT" w:bidi="it-IT"/>
        </w:rPr>
        <w:t>European network for Rare Adult solid Cancer</w:t>
      </w:r>
      <w:r w:rsidRPr="00955A9B">
        <w:rPr>
          <w:rFonts w:ascii="Times New Roman" w:eastAsia="Times New Roman" w:hAnsi="Times New Roman" w:cs="Times New Roman"/>
          <w:sz w:val="24"/>
          <w:szCs w:val="24"/>
          <w:lang w:eastAsia="it-IT" w:bidi="it-IT"/>
        </w:rPr>
        <w:t xml:space="preserve">) dedicato ai tumori rari solidi dell’adulto.  </w:t>
      </w:r>
    </w:p>
    <w:p w14:paraId="2BFA231A" w14:textId="77777777" w:rsidR="00955A9B" w:rsidRPr="00955A9B" w:rsidRDefault="00955A9B" w:rsidP="00955A9B">
      <w:pPr>
        <w:spacing w:after="121" w:line="360" w:lineRule="auto"/>
        <w:ind w:left="77" w:right="-6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 </w:t>
      </w:r>
    </w:p>
    <w:p w14:paraId="362166B3" w14:textId="77777777" w:rsidR="00955A9B" w:rsidRPr="00955A9B" w:rsidRDefault="00955A9B" w:rsidP="00955A9B">
      <w:pPr>
        <w:keepNext/>
        <w:keepLines/>
        <w:spacing w:after="156" w:line="360" w:lineRule="auto"/>
        <w:ind w:left="346" w:right="-60" w:hanging="284"/>
        <w:jc w:val="both"/>
        <w:outlineLvl w:val="0"/>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 xml:space="preserve">Condivisione dei percorsi diagnostico-terapeutici tra Centro User e CRCTR </w:t>
      </w:r>
    </w:p>
    <w:p w14:paraId="3A6DBB18" w14:textId="77777777" w:rsidR="00955A9B" w:rsidRPr="00955A9B" w:rsidRDefault="00955A9B" w:rsidP="00955A9B">
      <w:pPr>
        <w:spacing w:after="5" w:line="360" w:lineRule="auto"/>
        <w:ind w:left="72" w:right="-60" w:hanging="1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In ottemperanza alle norme stabilite dal Ministero della Salute nell’ambito della organizzazione della RNTR, ogni Centro User della Regione Campania condivide con il CRCTR il percorso diagnostico-terapeutico dei pazienti affetti da tumore raro al fine di garantire la tempestiva diagnosi e l’appropriata terapia, anche mediante l’adozione di specifici protocolli concordati.  </w:t>
      </w:r>
    </w:p>
    <w:p w14:paraId="1EAF47EF" w14:textId="77777777" w:rsidR="00955A9B" w:rsidRPr="00955A9B" w:rsidRDefault="00955A9B" w:rsidP="00955A9B">
      <w:pPr>
        <w:spacing w:after="121" w:line="360" w:lineRule="auto"/>
        <w:ind w:left="77" w:right="-6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 </w:t>
      </w:r>
    </w:p>
    <w:p w14:paraId="456768DA" w14:textId="77777777" w:rsidR="00955A9B" w:rsidRPr="00955A9B" w:rsidRDefault="00955A9B" w:rsidP="00955A9B">
      <w:pPr>
        <w:keepNext/>
        <w:keepLines/>
        <w:spacing w:after="111" w:line="360" w:lineRule="auto"/>
        <w:ind w:left="360" w:right="-60" w:hanging="360"/>
        <w:jc w:val="both"/>
        <w:outlineLvl w:val="0"/>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 xml:space="preserve">Registrazione dei casi ed organizzazione delle attività di teleconsulto </w:t>
      </w:r>
    </w:p>
    <w:p w14:paraId="2B2E428C" w14:textId="77777777" w:rsidR="00955A9B" w:rsidRPr="00955A9B" w:rsidRDefault="00955A9B" w:rsidP="00955A9B">
      <w:pPr>
        <w:spacing w:after="114" w:line="360" w:lineRule="auto"/>
        <w:ind w:left="72" w:right="-60" w:hanging="1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In ottemperanza alla Normativa Ministeriale ed al Decreto di Istituzione del Centro di Coordinamento Regionale (DCA N. 90 del 31/10/2019), il CRCTR ha il compito di: </w:t>
      </w:r>
    </w:p>
    <w:p w14:paraId="28BBB60C" w14:textId="77777777" w:rsidR="00955A9B" w:rsidRPr="00955A9B" w:rsidRDefault="00955A9B" w:rsidP="00955A9B">
      <w:pPr>
        <w:numPr>
          <w:ilvl w:val="0"/>
          <w:numId w:val="8"/>
        </w:numPr>
        <w:spacing w:after="5" w:line="360" w:lineRule="auto"/>
        <w:ind w:right="-6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Verificare che le attività di presa in carico e gestione clinica dei pazienti affetti da tumore raro siano coerenti con le progettualità della ROC e con le norme della RNTR, e garantire ai pazienti un accesso tempestivo ai migliori trattamenti e la continuità di cure pre- e post- ospedaliere.  </w:t>
      </w:r>
    </w:p>
    <w:p w14:paraId="4443C53F" w14:textId="77777777" w:rsidR="00955A9B" w:rsidRPr="00955A9B" w:rsidRDefault="00955A9B" w:rsidP="00955A9B">
      <w:pPr>
        <w:numPr>
          <w:ilvl w:val="0"/>
          <w:numId w:val="8"/>
        </w:numPr>
        <w:spacing w:after="5" w:line="360" w:lineRule="auto"/>
        <w:ind w:right="-6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Rappresentare il nodo di comunicazione operativa tra le Istituzioni della ROC, la RNTR ed il Network ERN-EURACAN, al fine di organizzare le attività di teleconsulto, a livello regionale, nazionale e, laddove venga ritenuto necessario, a livello europeo. </w:t>
      </w:r>
    </w:p>
    <w:p w14:paraId="76F2E863" w14:textId="77777777" w:rsidR="00955A9B" w:rsidRPr="00955A9B" w:rsidRDefault="00955A9B" w:rsidP="00955A9B">
      <w:pPr>
        <w:numPr>
          <w:ilvl w:val="0"/>
          <w:numId w:val="8"/>
        </w:numPr>
        <w:spacing w:after="5" w:line="360" w:lineRule="auto"/>
        <w:ind w:right="-6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 xml:space="preserve">Effettuare un censimento sistematico con notifica periodica alla RNTR di tutti i casi di tumore raro presi in carico a livello regionale ed una verifica delle attività svolte in relazione alle normative ministeriali. </w:t>
      </w:r>
    </w:p>
    <w:p w14:paraId="5FCA0A62" w14:textId="77777777" w:rsidR="00955A9B" w:rsidRPr="00955A9B" w:rsidRDefault="00955A9B" w:rsidP="00955A9B">
      <w:pPr>
        <w:numPr>
          <w:ilvl w:val="0"/>
          <w:numId w:val="8"/>
        </w:numPr>
        <w:spacing w:after="5" w:line="360" w:lineRule="auto"/>
        <w:ind w:right="-6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sz w:val="24"/>
          <w:szCs w:val="24"/>
          <w:lang w:eastAsia="it-IT" w:bidi="it-IT"/>
        </w:rPr>
        <w:t>A tal fine saranno disponibili piattaforme digitali per la registrazione dei casi che possano interfacciarsi ed integrarsi con la piattaforma digitale della ROC</w:t>
      </w:r>
      <w:r w:rsidRPr="00955A9B">
        <w:rPr>
          <w:rFonts w:ascii="Times New Roman" w:eastAsia="Calibri" w:hAnsi="Times New Roman" w:cs="Times New Roman"/>
          <w:sz w:val="24"/>
          <w:szCs w:val="24"/>
          <w:lang w:eastAsia="it-IT" w:bidi="it-IT"/>
        </w:rPr>
        <w:t>.</w:t>
      </w:r>
      <w:r w:rsidRPr="00955A9B">
        <w:rPr>
          <w:rFonts w:ascii="Times New Roman" w:eastAsia="Times New Roman" w:hAnsi="Times New Roman" w:cs="Times New Roman"/>
          <w:sz w:val="24"/>
          <w:szCs w:val="24"/>
          <w:lang w:eastAsia="it-IT" w:bidi="it-IT"/>
        </w:rPr>
        <w:t xml:space="preserve"> </w:t>
      </w:r>
    </w:p>
    <w:p w14:paraId="64FD4B82" w14:textId="77777777" w:rsidR="00955A9B" w:rsidRPr="00955A9B" w:rsidRDefault="00955A9B" w:rsidP="00955A9B">
      <w:pPr>
        <w:spacing w:after="62" w:line="360" w:lineRule="auto"/>
        <w:ind w:right="-60"/>
        <w:jc w:val="both"/>
        <w:rPr>
          <w:rFonts w:ascii="Times New Roman" w:eastAsia="Times New Roman" w:hAnsi="Times New Roman" w:cs="Times New Roman"/>
          <w:sz w:val="24"/>
          <w:szCs w:val="24"/>
          <w:lang w:eastAsia="it-IT" w:bidi="it-IT"/>
        </w:rPr>
      </w:pPr>
      <w:r w:rsidRPr="00955A9B">
        <w:rPr>
          <w:rFonts w:ascii="Times New Roman" w:eastAsia="Times New Roman" w:hAnsi="Times New Roman" w:cs="Times New Roman"/>
          <w:noProof/>
          <w:sz w:val="24"/>
          <w:szCs w:val="24"/>
          <w:lang w:eastAsia="it-IT"/>
        </w:rPr>
        <w:drawing>
          <wp:inline distT="0" distB="0" distL="0" distR="0" wp14:anchorId="3B982982" wp14:editId="577D25C2">
            <wp:extent cx="4778375" cy="3069203"/>
            <wp:effectExtent l="0" t="0" r="3175" b="0"/>
            <wp:docPr id="6829" name="Picture 6829"/>
            <wp:cNvGraphicFramePr/>
            <a:graphic xmlns:a="http://schemas.openxmlformats.org/drawingml/2006/main">
              <a:graphicData uri="http://schemas.openxmlformats.org/drawingml/2006/picture">
                <pic:pic xmlns:pic="http://schemas.openxmlformats.org/drawingml/2006/picture">
                  <pic:nvPicPr>
                    <pic:cNvPr id="6829" name="Picture 6829"/>
                    <pic:cNvPicPr/>
                  </pic:nvPicPr>
                  <pic:blipFill>
                    <a:blip r:embed="rId22"/>
                    <a:stretch>
                      <a:fillRect/>
                    </a:stretch>
                  </pic:blipFill>
                  <pic:spPr>
                    <a:xfrm>
                      <a:off x="0" y="0"/>
                      <a:ext cx="4811192" cy="3090282"/>
                    </a:xfrm>
                    <a:prstGeom prst="rect">
                      <a:avLst/>
                    </a:prstGeom>
                  </pic:spPr>
                </pic:pic>
              </a:graphicData>
            </a:graphic>
          </wp:inline>
        </w:drawing>
      </w:r>
      <w:r w:rsidRPr="00955A9B">
        <w:rPr>
          <w:rFonts w:ascii="Times New Roman" w:eastAsia="Times New Roman" w:hAnsi="Times New Roman" w:cs="Times New Roman"/>
          <w:sz w:val="24"/>
          <w:szCs w:val="24"/>
          <w:lang w:eastAsia="it-IT" w:bidi="it-IT"/>
        </w:rPr>
        <w:t xml:space="preserve"> </w:t>
      </w:r>
    </w:p>
    <w:p w14:paraId="05B61ECE" w14:textId="56EC2BCD" w:rsidR="00955A9B" w:rsidRDefault="00955A9B" w:rsidP="00A921D1">
      <w:pPr>
        <w:keepNext/>
        <w:keepLines/>
        <w:spacing w:after="111" w:line="360" w:lineRule="auto"/>
        <w:ind w:right="-60"/>
        <w:jc w:val="both"/>
        <w:outlineLvl w:val="0"/>
        <w:rPr>
          <w:rFonts w:ascii="Times New Roman" w:eastAsia="Times New Roman" w:hAnsi="Times New Roman" w:cs="Times New Roman"/>
          <w:b/>
          <w:sz w:val="24"/>
          <w:szCs w:val="24"/>
          <w:lang w:eastAsia="it-IT"/>
        </w:rPr>
      </w:pPr>
    </w:p>
    <w:p w14:paraId="3D594C36" w14:textId="77777777" w:rsidR="00A921D1" w:rsidRPr="00955A9B" w:rsidRDefault="00A921D1" w:rsidP="00A921D1">
      <w:pPr>
        <w:keepNext/>
        <w:keepLines/>
        <w:spacing w:after="111" w:line="360" w:lineRule="auto"/>
        <w:ind w:right="-60"/>
        <w:jc w:val="both"/>
        <w:outlineLvl w:val="0"/>
        <w:rPr>
          <w:rFonts w:ascii="Times New Roman" w:eastAsia="Times New Roman" w:hAnsi="Times New Roman" w:cs="Times New Roman"/>
          <w:b/>
          <w:sz w:val="24"/>
          <w:szCs w:val="24"/>
          <w:lang w:eastAsia="it-IT"/>
        </w:rPr>
      </w:pPr>
    </w:p>
    <w:p w14:paraId="6E219E3A" w14:textId="77777777" w:rsidR="00955A9B" w:rsidRDefault="00955A9B" w:rsidP="00955A9B">
      <w:pPr>
        <w:keepNext/>
        <w:keepLines/>
        <w:spacing w:after="111" w:line="360" w:lineRule="auto"/>
        <w:ind w:right="-60"/>
        <w:jc w:val="both"/>
        <w:outlineLvl w:val="0"/>
        <w:rPr>
          <w:rFonts w:ascii="Times New Roman" w:eastAsia="Times New Roman" w:hAnsi="Times New Roman" w:cs="Times New Roman"/>
          <w:b/>
          <w:sz w:val="24"/>
          <w:szCs w:val="24"/>
          <w:lang w:eastAsia="it-IT"/>
        </w:rPr>
      </w:pPr>
    </w:p>
    <w:p w14:paraId="43074EE2" w14:textId="65F47461" w:rsidR="00955A9B" w:rsidRPr="00955A9B" w:rsidRDefault="00955A9B" w:rsidP="00955A9B">
      <w:pPr>
        <w:keepNext/>
        <w:keepLines/>
        <w:spacing w:after="111" w:line="360" w:lineRule="auto"/>
        <w:ind w:right="-60"/>
        <w:jc w:val="both"/>
        <w:outlineLvl w:val="0"/>
        <w:rPr>
          <w:rFonts w:ascii="Times New Roman" w:eastAsia="Times New Roman" w:hAnsi="Times New Roman" w:cs="Times New Roman"/>
          <w:b/>
          <w:sz w:val="24"/>
          <w:szCs w:val="24"/>
          <w:lang w:eastAsia="it-IT"/>
        </w:rPr>
      </w:pPr>
      <w:r w:rsidRPr="00955A9B">
        <w:rPr>
          <w:rFonts w:ascii="Times New Roman" w:eastAsia="Times New Roman" w:hAnsi="Times New Roman" w:cs="Times New Roman"/>
          <w:b/>
          <w:sz w:val="24"/>
          <w:szCs w:val="24"/>
          <w:lang w:eastAsia="it-IT"/>
        </w:rPr>
        <w:t xml:space="preserve">Piano di revisione del PDTA </w:t>
      </w:r>
    </w:p>
    <w:p w14:paraId="0A6A0494" w14:textId="77777777" w:rsidR="00955A9B" w:rsidRPr="00955A9B" w:rsidRDefault="00955A9B" w:rsidP="00955A9B">
      <w:pPr>
        <w:tabs>
          <w:tab w:val="left" w:pos="1055"/>
        </w:tabs>
        <w:spacing w:line="360" w:lineRule="auto"/>
        <w:jc w:val="both"/>
        <w:rPr>
          <w:rFonts w:ascii="Times New Roman" w:hAnsi="Times New Roman" w:cs="Times New Roman"/>
          <w:b/>
          <w:sz w:val="24"/>
          <w:szCs w:val="24"/>
        </w:rPr>
      </w:pPr>
    </w:p>
    <w:p w14:paraId="203E5864" w14:textId="77777777" w:rsidR="00955A9B" w:rsidRPr="00955A9B" w:rsidRDefault="00955A9B" w:rsidP="00955A9B">
      <w:pPr>
        <w:spacing w:line="360" w:lineRule="auto"/>
        <w:jc w:val="both"/>
        <w:rPr>
          <w:rFonts w:ascii="Times New Roman" w:eastAsia="Calibri" w:hAnsi="Times New Roman" w:cs="Times New Roman"/>
          <w:sz w:val="24"/>
          <w:szCs w:val="24"/>
        </w:rPr>
      </w:pPr>
    </w:p>
    <w:p w14:paraId="12D1B7C4" w14:textId="77777777" w:rsidR="00955A9B" w:rsidRPr="00955A9B" w:rsidRDefault="00955A9B" w:rsidP="00955A9B">
      <w:pPr>
        <w:spacing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955A9B" w:rsidRPr="00955A9B" w14:paraId="34A72DD0" w14:textId="77777777" w:rsidTr="00AE73EE">
        <w:trPr>
          <w:jc w:val="center"/>
        </w:trPr>
        <w:tc>
          <w:tcPr>
            <w:tcW w:w="4819" w:type="dxa"/>
            <w:shd w:val="clear" w:color="auto" w:fill="auto"/>
          </w:tcPr>
          <w:p w14:paraId="12839FF7"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Coordinamento piano PDTA ROC</w:t>
            </w:r>
          </w:p>
        </w:tc>
        <w:tc>
          <w:tcPr>
            <w:tcW w:w="4819" w:type="dxa"/>
            <w:shd w:val="clear" w:color="auto" w:fill="auto"/>
          </w:tcPr>
          <w:p w14:paraId="5E9C7E53"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Sandro Pignata</w:t>
            </w:r>
          </w:p>
        </w:tc>
      </w:tr>
      <w:tr w:rsidR="00955A9B" w:rsidRPr="00955A9B" w14:paraId="18EDAC44" w14:textId="77777777" w:rsidTr="00AE73EE">
        <w:trPr>
          <w:jc w:val="center"/>
        </w:trPr>
        <w:tc>
          <w:tcPr>
            <w:tcW w:w="4819" w:type="dxa"/>
            <w:shd w:val="clear" w:color="auto" w:fill="auto"/>
          </w:tcPr>
          <w:p w14:paraId="0C95617A"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Primi estensori</w:t>
            </w:r>
          </w:p>
        </w:tc>
        <w:tc>
          <w:tcPr>
            <w:tcW w:w="4819" w:type="dxa"/>
            <w:shd w:val="clear" w:color="auto" w:fill="auto"/>
          </w:tcPr>
          <w:p w14:paraId="59C941C9"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F. De Vita, F. Ciardiello, R. Casaretti, E. Mercadante, S. Falivene, R. Palaia</w:t>
            </w:r>
          </w:p>
        </w:tc>
      </w:tr>
      <w:tr w:rsidR="00955A9B" w:rsidRPr="00955A9B" w14:paraId="1E5AB587" w14:textId="77777777" w:rsidTr="00AE73EE">
        <w:trPr>
          <w:jc w:val="center"/>
        </w:trPr>
        <w:tc>
          <w:tcPr>
            <w:tcW w:w="4819" w:type="dxa"/>
            <w:shd w:val="clear" w:color="auto" w:fill="auto"/>
          </w:tcPr>
          <w:p w14:paraId="70F663EC"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Seconda valutazione</w:t>
            </w:r>
          </w:p>
        </w:tc>
        <w:tc>
          <w:tcPr>
            <w:tcW w:w="4819" w:type="dxa"/>
            <w:shd w:val="clear" w:color="auto" w:fill="auto"/>
          </w:tcPr>
          <w:p w14:paraId="37644FEB"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Tutti i referenti per la ROC dei CORP-CORPUS e ASL</w:t>
            </w:r>
          </w:p>
        </w:tc>
      </w:tr>
      <w:tr w:rsidR="00955A9B" w:rsidRPr="00955A9B" w14:paraId="0BFB5477" w14:textId="77777777" w:rsidTr="00AE73EE">
        <w:trPr>
          <w:jc w:val="center"/>
        </w:trPr>
        <w:tc>
          <w:tcPr>
            <w:tcW w:w="4819" w:type="dxa"/>
            <w:shd w:val="clear" w:color="auto" w:fill="auto"/>
          </w:tcPr>
          <w:p w14:paraId="18F2B6A4"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Terza valutazione</w:t>
            </w:r>
          </w:p>
        </w:tc>
        <w:tc>
          <w:tcPr>
            <w:tcW w:w="4819" w:type="dxa"/>
            <w:shd w:val="clear" w:color="auto" w:fill="auto"/>
          </w:tcPr>
          <w:p w14:paraId="325566B4"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Componenti dei team multidisciplinari nei CORP-CORPUS e ASL identificati dai referenti della ROC</w:t>
            </w:r>
          </w:p>
          <w:p w14:paraId="1151D8EA" w14:textId="77777777" w:rsidR="00955A9B" w:rsidRPr="00955A9B" w:rsidRDefault="00955A9B" w:rsidP="00955A9B">
            <w:pPr>
              <w:spacing w:line="360" w:lineRule="auto"/>
              <w:jc w:val="both"/>
              <w:rPr>
                <w:rFonts w:ascii="Times New Roman" w:hAnsi="Times New Roman" w:cs="Times New Roman"/>
                <w:sz w:val="24"/>
                <w:szCs w:val="24"/>
              </w:rPr>
            </w:pPr>
          </w:p>
        </w:tc>
      </w:tr>
      <w:tr w:rsidR="00955A9B" w:rsidRPr="00955A9B" w14:paraId="3453CA03" w14:textId="77777777" w:rsidTr="00AE73EE">
        <w:trPr>
          <w:jc w:val="center"/>
        </w:trPr>
        <w:tc>
          <w:tcPr>
            <w:tcW w:w="4819" w:type="dxa"/>
            <w:shd w:val="clear" w:color="auto" w:fill="auto"/>
          </w:tcPr>
          <w:p w14:paraId="43E40956"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Note Epidemiologiche a cura:</w:t>
            </w:r>
          </w:p>
        </w:tc>
        <w:tc>
          <w:tcPr>
            <w:tcW w:w="4819" w:type="dxa"/>
            <w:shd w:val="clear" w:color="auto" w:fill="auto"/>
          </w:tcPr>
          <w:p w14:paraId="1E46F33F"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M. Fusco: Coordinamento registri Tumori della Campania</w:t>
            </w:r>
          </w:p>
          <w:p w14:paraId="22EE8AE9" w14:textId="77777777" w:rsidR="00955A9B" w:rsidRPr="00955A9B" w:rsidRDefault="00955A9B" w:rsidP="00955A9B">
            <w:pPr>
              <w:spacing w:line="360" w:lineRule="auto"/>
              <w:jc w:val="both"/>
              <w:rPr>
                <w:rFonts w:ascii="Times New Roman" w:hAnsi="Times New Roman" w:cs="Times New Roman"/>
                <w:sz w:val="24"/>
                <w:szCs w:val="24"/>
              </w:rPr>
            </w:pPr>
          </w:p>
        </w:tc>
      </w:tr>
      <w:tr w:rsidR="00955A9B" w:rsidRPr="00955A9B" w14:paraId="714FADB6" w14:textId="77777777" w:rsidTr="00AE73EE">
        <w:trPr>
          <w:jc w:val="center"/>
        </w:trPr>
        <w:tc>
          <w:tcPr>
            <w:tcW w:w="4819" w:type="dxa"/>
            <w:shd w:val="clear" w:color="auto" w:fill="auto"/>
          </w:tcPr>
          <w:p w14:paraId="0D79A5DE"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Associazioni pazienti</w:t>
            </w:r>
          </w:p>
        </w:tc>
        <w:tc>
          <w:tcPr>
            <w:tcW w:w="4819" w:type="dxa"/>
            <w:shd w:val="clear" w:color="auto" w:fill="auto"/>
          </w:tcPr>
          <w:p w14:paraId="0EDCE1C9"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FAVO</w:t>
            </w:r>
          </w:p>
          <w:p w14:paraId="4ACE8EF8" w14:textId="77777777" w:rsidR="00955A9B" w:rsidRPr="00955A9B" w:rsidRDefault="00955A9B" w:rsidP="00955A9B">
            <w:pPr>
              <w:spacing w:line="360" w:lineRule="auto"/>
              <w:jc w:val="both"/>
              <w:rPr>
                <w:rFonts w:ascii="Times New Roman" w:hAnsi="Times New Roman" w:cs="Times New Roman"/>
                <w:sz w:val="24"/>
                <w:szCs w:val="24"/>
              </w:rPr>
            </w:pPr>
          </w:p>
        </w:tc>
      </w:tr>
      <w:tr w:rsidR="00955A9B" w:rsidRPr="00955A9B" w14:paraId="37B36A8A" w14:textId="77777777" w:rsidTr="00AE73EE">
        <w:trPr>
          <w:jc w:val="center"/>
        </w:trPr>
        <w:tc>
          <w:tcPr>
            <w:tcW w:w="4819" w:type="dxa"/>
            <w:shd w:val="clear" w:color="auto" w:fill="auto"/>
          </w:tcPr>
          <w:p w14:paraId="18C8155B" w14:textId="77777777"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Società Scientifiche</w:t>
            </w:r>
          </w:p>
        </w:tc>
        <w:tc>
          <w:tcPr>
            <w:tcW w:w="4819" w:type="dxa"/>
            <w:shd w:val="clear" w:color="auto" w:fill="auto"/>
          </w:tcPr>
          <w:p w14:paraId="4EE80FCF" w14:textId="6CBD7B61" w:rsidR="00955A9B" w:rsidRPr="00955A9B" w:rsidRDefault="00955A9B" w:rsidP="00955A9B">
            <w:pPr>
              <w:spacing w:line="360" w:lineRule="auto"/>
              <w:jc w:val="both"/>
              <w:rPr>
                <w:rFonts w:ascii="Times New Roman" w:hAnsi="Times New Roman" w:cs="Times New Roman"/>
                <w:sz w:val="24"/>
                <w:szCs w:val="24"/>
              </w:rPr>
            </w:pPr>
            <w:r w:rsidRPr="00955A9B">
              <w:rPr>
                <w:rFonts w:ascii="Times New Roman" w:hAnsi="Times New Roman" w:cs="Times New Roman"/>
                <w:sz w:val="24"/>
                <w:szCs w:val="24"/>
              </w:rPr>
              <w:t>Rappresentanze regionali AIOM, CIPOMO</w:t>
            </w:r>
            <w:r w:rsidR="00E27564">
              <w:rPr>
                <w:rFonts w:ascii="Times New Roman" w:hAnsi="Times New Roman" w:cs="Times New Roman"/>
                <w:sz w:val="24"/>
                <w:szCs w:val="24"/>
              </w:rPr>
              <w:t>, SIMG</w:t>
            </w:r>
            <w:r w:rsidRPr="00955A9B">
              <w:rPr>
                <w:rFonts w:ascii="Times New Roman" w:hAnsi="Times New Roman" w:cs="Times New Roman"/>
                <w:sz w:val="24"/>
                <w:szCs w:val="24"/>
              </w:rPr>
              <w:t xml:space="preserve"> con coordinamento della revisione da parte di C Savastano, G  Colantuoni</w:t>
            </w:r>
          </w:p>
        </w:tc>
      </w:tr>
    </w:tbl>
    <w:p w14:paraId="790B1103" w14:textId="77777777" w:rsidR="00955A9B" w:rsidRPr="00955A9B" w:rsidRDefault="00955A9B" w:rsidP="00955A9B">
      <w:pPr>
        <w:spacing w:line="360" w:lineRule="auto"/>
        <w:jc w:val="both"/>
        <w:rPr>
          <w:rFonts w:ascii="Times New Roman" w:hAnsi="Times New Roman" w:cs="Times New Roman"/>
          <w:sz w:val="24"/>
          <w:szCs w:val="24"/>
        </w:rPr>
      </w:pPr>
    </w:p>
    <w:p w14:paraId="38989AF9" w14:textId="77777777" w:rsidR="00955A9B" w:rsidRPr="00955A9B" w:rsidRDefault="00955A9B" w:rsidP="00955A9B">
      <w:pPr>
        <w:spacing w:line="360" w:lineRule="auto"/>
        <w:jc w:val="both"/>
        <w:rPr>
          <w:rFonts w:ascii="Times New Roman" w:hAnsi="Times New Roman" w:cs="Times New Roman"/>
          <w:sz w:val="24"/>
          <w:szCs w:val="24"/>
        </w:rPr>
      </w:pPr>
    </w:p>
    <w:p w14:paraId="0EAB9B0C" w14:textId="22FF41FE" w:rsidR="00955A9B" w:rsidRPr="00955A9B" w:rsidRDefault="00955A9B" w:rsidP="00955A9B">
      <w:pPr>
        <w:spacing w:line="360" w:lineRule="auto"/>
        <w:jc w:val="both"/>
        <w:rPr>
          <w:rFonts w:ascii="Times New Roman" w:eastAsia="Times New Roman" w:hAnsi="Times New Roman" w:cs="Times New Roman"/>
          <w:sz w:val="24"/>
          <w:szCs w:val="24"/>
        </w:rPr>
      </w:pPr>
    </w:p>
    <w:p w14:paraId="7C8C6436" w14:textId="77777777" w:rsidR="00EC22A3" w:rsidRPr="00955A9B" w:rsidRDefault="00EC22A3" w:rsidP="00955A9B">
      <w:pPr>
        <w:spacing w:line="360" w:lineRule="auto"/>
        <w:jc w:val="both"/>
        <w:rPr>
          <w:rFonts w:ascii="Times New Roman" w:hAnsi="Times New Roman" w:cs="Times New Roman"/>
          <w:sz w:val="24"/>
          <w:szCs w:val="24"/>
        </w:rPr>
      </w:pPr>
    </w:p>
    <w:p w14:paraId="3FA806E5" w14:textId="77777777" w:rsidR="00E27564" w:rsidRPr="00E27564" w:rsidRDefault="00E27564" w:rsidP="00E27564">
      <w:pPr>
        <w:suppressAutoHyphens/>
        <w:spacing w:after="200" w:line="360" w:lineRule="auto"/>
        <w:jc w:val="both"/>
        <w:textAlignment w:val="baseline"/>
        <w:rPr>
          <w:rFonts w:ascii="Times New Roman" w:eastAsia="Calibri" w:hAnsi="Times New Roman" w:cs="Times New Roman"/>
          <w:sz w:val="24"/>
          <w:szCs w:val="24"/>
        </w:rPr>
      </w:pPr>
      <w:r w:rsidRPr="00E27564">
        <w:rPr>
          <w:rFonts w:ascii="Times New Roman" w:eastAsia="Calibri" w:hAnsi="Times New Roman" w:cs="Times New Roman"/>
          <w:sz w:val="24"/>
          <w:szCs w:val="24"/>
        </w:rPr>
        <w:t>Percorsi suggeriti dalle Associazioni Pazienti aderenti a FAVO Campania da sviluppare nella ROC prima della prossima revisione annuale del PDTA</w:t>
      </w:r>
    </w:p>
    <w:p w14:paraId="2C1D4267" w14:textId="77777777" w:rsidR="00E27564" w:rsidRPr="00E27564" w:rsidRDefault="00E27564" w:rsidP="00E27564">
      <w:pPr>
        <w:tabs>
          <w:tab w:val="left" w:pos="771"/>
        </w:tabs>
        <w:spacing w:line="360" w:lineRule="auto"/>
        <w:jc w:val="both"/>
        <w:rPr>
          <w:rFonts w:ascii="Times New Roman" w:eastAsia="Times New Roman" w:hAnsi="Times New Roman" w:cs="Times New Roman"/>
          <w:color w:val="000000" w:themeColor="text1"/>
          <w:sz w:val="24"/>
          <w:szCs w:val="24"/>
        </w:rPr>
      </w:pPr>
    </w:p>
    <w:tbl>
      <w:tblPr>
        <w:tblW w:w="9783" w:type="dxa"/>
        <w:tblInd w:w="-5" w:type="dxa"/>
        <w:tblCellMar>
          <w:left w:w="10" w:type="dxa"/>
          <w:right w:w="10" w:type="dxa"/>
        </w:tblCellMar>
        <w:tblLook w:val="0000" w:firstRow="0" w:lastRow="0" w:firstColumn="0" w:lastColumn="0" w:noHBand="0" w:noVBand="0"/>
      </w:tblPr>
      <w:tblGrid>
        <w:gridCol w:w="1701"/>
        <w:gridCol w:w="8082"/>
      </w:tblGrid>
      <w:tr w:rsidR="00E27564" w:rsidRPr="00E27564" w14:paraId="41B2C4E7" w14:textId="77777777" w:rsidTr="001F6F3D">
        <w:trPr>
          <w:trHeight w:val="5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940A2" w14:textId="12404AE3" w:rsidR="00E27564" w:rsidRPr="00E27564" w:rsidRDefault="00E27564" w:rsidP="00E27564">
            <w:pPr>
              <w:spacing w:line="360" w:lineRule="auto"/>
              <w:jc w:val="both"/>
              <w:rPr>
                <w:rFonts w:ascii="Times New Roman" w:hAnsi="Times New Roman" w:cs="Times New Roman"/>
                <w:b/>
                <w:bCs/>
                <w:color w:val="000000" w:themeColor="text1"/>
                <w:sz w:val="24"/>
                <w:szCs w:val="24"/>
              </w:rPr>
            </w:pPr>
            <w:r w:rsidRPr="00E27564">
              <w:rPr>
                <w:rFonts w:ascii="Times New Roman" w:hAnsi="Times New Roman" w:cs="Times New Roman"/>
                <w:b/>
                <w:bCs/>
                <w:color w:val="000000" w:themeColor="text1"/>
                <w:sz w:val="24"/>
                <w:szCs w:val="24"/>
              </w:rPr>
              <w:t xml:space="preserve">PDTA </w:t>
            </w:r>
            <w:r>
              <w:rPr>
                <w:rFonts w:ascii="Times New Roman" w:hAnsi="Times New Roman" w:cs="Times New Roman"/>
                <w:b/>
                <w:bCs/>
                <w:color w:val="000000" w:themeColor="text1"/>
                <w:sz w:val="24"/>
                <w:szCs w:val="24"/>
              </w:rPr>
              <w:t>Stomaco-Esofago</w:t>
            </w:r>
          </w:p>
        </w:tc>
        <w:tc>
          <w:tcPr>
            <w:tcW w:w="8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1712D" w14:textId="08E31FE5" w:rsidR="00E27564" w:rsidRPr="00E27564" w:rsidRDefault="00E27564" w:rsidP="00E27564">
            <w:pPr>
              <w:pStyle w:val="Corpotesto"/>
              <w:numPr>
                <w:ilvl w:val="0"/>
                <w:numId w:val="9"/>
              </w:numPr>
              <w:jc w:val="both"/>
              <w:rPr>
                <w:rFonts w:cs="Times New Roman"/>
                <w:color w:val="000000" w:themeColor="text1"/>
              </w:rPr>
            </w:pPr>
            <w:r w:rsidRPr="00E27564">
              <w:rPr>
                <w:rFonts w:eastAsia="Times New Roman" w:cs="Times New Roman"/>
                <w:color w:val="000000" w:themeColor="text1"/>
              </w:rPr>
              <w:t>S</w:t>
            </w:r>
            <w:r w:rsidRPr="00E27564">
              <w:rPr>
                <w:rFonts w:cs="Times New Roman"/>
                <w:color w:val="000000" w:themeColor="text1"/>
                <w:w w:val="95"/>
              </w:rPr>
              <w:t>i</w:t>
            </w:r>
            <w:r w:rsidRPr="00E27564">
              <w:rPr>
                <w:rFonts w:cs="Times New Roman"/>
                <w:color w:val="000000" w:themeColor="text1"/>
                <w:spacing w:val="-6"/>
                <w:w w:val="95"/>
              </w:rPr>
              <w:t xml:space="preserve"> </w:t>
            </w:r>
            <w:r w:rsidRPr="00E27564">
              <w:rPr>
                <w:rFonts w:cs="Times New Roman"/>
                <w:color w:val="000000" w:themeColor="text1"/>
                <w:w w:val="95"/>
              </w:rPr>
              <w:t>auspica che</w:t>
            </w:r>
            <w:r w:rsidRPr="00E27564">
              <w:rPr>
                <w:rFonts w:cs="Times New Roman"/>
                <w:color w:val="000000" w:themeColor="text1"/>
                <w:spacing w:val="2"/>
                <w:w w:val="95"/>
              </w:rPr>
              <w:t xml:space="preserve"> </w:t>
            </w:r>
            <w:r w:rsidRPr="00E27564">
              <w:rPr>
                <w:rFonts w:cs="Times New Roman"/>
                <w:color w:val="000000" w:themeColor="text1"/>
                <w:w w:val="95"/>
              </w:rPr>
              <w:t>tutti i GOM (</w:t>
            </w:r>
            <w:r w:rsidRPr="00E27564">
              <w:rPr>
                <w:rFonts w:cs="Times New Roman"/>
                <w:bCs/>
                <w:color w:val="000000" w:themeColor="text1"/>
                <w:w w:val="95"/>
              </w:rPr>
              <w:t xml:space="preserve">provvedano in tempi brevi e standardizzati a garantire ai pazienti in carico, tutte le prestazioni </w:t>
            </w:r>
            <w:r w:rsidRPr="00E27564">
              <w:rPr>
                <w:rFonts w:cs="Times New Roman"/>
                <w:bCs/>
                <w:color w:val="000000" w:themeColor="text1"/>
                <w:w w:val="90"/>
              </w:rPr>
              <w:t>diagnostiche ambulatoriali</w:t>
            </w:r>
            <w:r w:rsidRPr="00E27564">
              <w:rPr>
                <w:rFonts w:cs="Times New Roman"/>
                <w:bCs/>
                <w:color w:val="000000" w:themeColor="text1"/>
                <w:spacing w:val="1"/>
                <w:w w:val="90"/>
              </w:rPr>
              <w:t xml:space="preserve"> </w:t>
            </w:r>
            <w:r w:rsidRPr="00E27564">
              <w:rPr>
                <w:rFonts w:cs="Times New Roman"/>
                <w:bCs/>
                <w:color w:val="000000" w:themeColor="text1"/>
              </w:rPr>
              <w:t>(con</w:t>
            </w:r>
            <w:r w:rsidRPr="00E27564">
              <w:rPr>
                <w:rFonts w:cs="Times New Roman"/>
                <w:bCs/>
                <w:color w:val="000000" w:themeColor="text1"/>
                <w:spacing w:val="-11"/>
              </w:rPr>
              <w:t xml:space="preserve"> </w:t>
            </w:r>
            <w:r w:rsidRPr="00E27564">
              <w:rPr>
                <w:rFonts w:cs="Times New Roman"/>
                <w:bCs/>
                <w:color w:val="000000" w:themeColor="text1"/>
              </w:rPr>
              <w:t>impegnativa)</w:t>
            </w:r>
            <w:r w:rsidR="002D4818">
              <w:rPr>
                <w:rFonts w:cs="Times New Roman"/>
                <w:bCs/>
                <w:color w:val="000000" w:themeColor="text1"/>
              </w:rPr>
              <w:t>)</w:t>
            </w:r>
            <w:r w:rsidRPr="00E27564">
              <w:rPr>
                <w:rFonts w:cs="Times New Roman"/>
                <w:color w:val="000000" w:themeColor="text1"/>
                <w:spacing w:val="3"/>
              </w:rPr>
              <w:t xml:space="preserve"> e realizzino dei percorsi dedicati </w:t>
            </w:r>
            <w:r w:rsidRPr="00E27564">
              <w:rPr>
                <w:rFonts w:cs="Times New Roman"/>
                <w:color w:val="000000" w:themeColor="text1"/>
              </w:rPr>
              <w:t>per</w:t>
            </w:r>
            <w:r w:rsidRPr="00E27564">
              <w:rPr>
                <w:rFonts w:cs="Times New Roman"/>
                <w:color w:val="000000" w:themeColor="text1"/>
                <w:spacing w:val="2"/>
              </w:rPr>
              <w:t xml:space="preserve"> </w:t>
            </w:r>
            <w:r w:rsidRPr="00E27564">
              <w:rPr>
                <w:rFonts w:cs="Times New Roman"/>
                <w:color w:val="000000" w:themeColor="text1"/>
              </w:rPr>
              <w:t>i</w:t>
            </w:r>
            <w:r w:rsidRPr="00E27564">
              <w:rPr>
                <w:rFonts w:cs="Times New Roman"/>
                <w:color w:val="000000" w:themeColor="text1"/>
                <w:spacing w:val="-5"/>
              </w:rPr>
              <w:t xml:space="preserve"> </w:t>
            </w:r>
            <w:r w:rsidRPr="00E27564">
              <w:rPr>
                <w:rFonts w:cs="Times New Roman"/>
                <w:color w:val="000000" w:themeColor="text1"/>
              </w:rPr>
              <w:t>pazienti</w:t>
            </w:r>
            <w:r w:rsidRPr="00E27564">
              <w:rPr>
                <w:rFonts w:cs="Times New Roman"/>
                <w:color w:val="000000" w:themeColor="text1"/>
                <w:spacing w:val="9"/>
              </w:rPr>
              <w:t xml:space="preserve"> </w:t>
            </w:r>
            <w:r w:rsidRPr="00E27564">
              <w:rPr>
                <w:rFonts w:cs="Times New Roman"/>
                <w:color w:val="000000" w:themeColor="text1"/>
              </w:rPr>
              <w:t>in</w:t>
            </w:r>
            <w:r w:rsidRPr="00E27564">
              <w:rPr>
                <w:rFonts w:cs="Times New Roman"/>
                <w:color w:val="000000" w:themeColor="text1"/>
                <w:spacing w:val="-15"/>
              </w:rPr>
              <w:t xml:space="preserve"> </w:t>
            </w:r>
            <w:r w:rsidRPr="00E27564">
              <w:rPr>
                <w:rFonts w:cs="Times New Roman"/>
                <w:color w:val="000000" w:themeColor="text1"/>
              </w:rPr>
              <w:t>valutazione</w:t>
            </w:r>
            <w:r w:rsidRPr="00E27564">
              <w:rPr>
                <w:rFonts w:cs="Times New Roman"/>
                <w:color w:val="000000" w:themeColor="text1"/>
                <w:spacing w:val="3"/>
              </w:rPr>
              <w:t xml:space="preserve"> </w:t>
            </w:r>
            <w:r w:rsidRPr="00E27564">
              <w:rPr>
                <w:rFonts w:cs="Times New Roman"/>
                <w:color w:val="000000" w:themeColor="text1"/>
              </w:rPr>
              <w:t xml:space="preserve">GOM. Questo risolverebbe in gran parte i disagi creati dal Decreto </w:t>
            </w:r>
            <w:r w:rsidRPr="00E27564">
              <w:rPr>
                <w:rFonts w:cs="Times New Roman"/>
                <w:color w:val="000000" w:themeColor="text1"/>
                <w:w w:val="95"/>
              </w:rPr>
              <w:t>599</w:t>
            </w:r>
            <w:r w:rsidRPr="00E27564">
              <w:rPr>
                <w:rFonts w:cs="Times New Roman"/>
                <w:color w:val="000000" w:themeColor="text1"/>
                <w:spacing w:val="4"/>
                <w:w w:val="95"/>
              </w:rPr>
              <w:t xml:space="preserve"> </w:t>
            </w:r>
            <w:r w:rsidRPr="00E27564">
              <w:rPr>
                <w:rFonts w:cs="Times New Roman"/>
                <w:color w:val="000000" w:themeColor="text1"/>
                <w:w w:val="95"/>
              </w:rPr>
              <w:t>del</w:t>
            </w:r>
            <w:r w:rsidRPr="00E27564">
              <w:rPr>
                <w:rFonts w:cs="Times New Roman"/>
                <w:color w:val="000000" w:themeColor="text1"/>
                <w:spacing w:val="9"/>
                <w:w w:val="95"/>
              </w:rPr>
              <w:t xml:space="preserve"> </w:t>
            </w:r>
            <w:r w:rsidRPr="00E27564">
              <w:rPr>
                <w:rFonts w:cs="Times New Roman"/>
                <w:color w:val="000000" w:themeColor="text1"/>
                <w:w w:val="95"/>
              </w:rPr>
              <w:t>28/12/2021,</w:t>
            </w:r>
            <w:r w:rsidRPr="00E27564">
              <w:rPr>
                <w:rFonts w:cs="Times New Roman"/>
                <w:color w:val="000000" w:themeColor="text1"/>
                <w:spacing w:val="6"/>
                <w:w w:val="95"/>
              </w:rPr>
              <w:t xml:space="preserve"> con la definizione dei tetti di spesa per i centri diagnostici accreditati</w:t>
            </w:r>
            <w:r w:rsidRPr="00E27564">
              <w:rPr>
                <w:rFonts w:cs="Times New Roman"/>
                <w:color w:val="000000" w:themeColor="text1"/>
              </w:rPr>
              <w:t>.</w:t>
            </w:r>
          </w:p>
          <w:p w14:paraId="7DDF9B98" w14:textId="77777777" w:rsidR="00E27564" w:rsidRPr="00E27564" w:rsidRDefault="00E27564" w:rsidP="00E27564">
            <w:pPr>
              <w:pStyle w:val="Corpotesto"/>
              <w:numPr>
                <w:ilvl w:val="0"/>
                <w:numId w:val="9"/>
              </w:numPr>
              <w:jc w:val="both"/>
              <w:rPr>
                <w:rFonts w:cs="Times New Roman"/>
                <w:color w:val="000000" w:themeColor="text1"/>
              </w:rPr>
            </w:pPr>
            <w:r w:rsidRPr="00E27564">
              <w:rPr>
                <w:rFonts w:cs="Times New Roman"/>
                <w:color w:val="000000" w:themeColor="text1"/>
              </w:rPr>
              <w:t xml:space="preserve">Si auspica </w:t>
            </w:r>
            <w:r w:rsidRPr="00E27564">
              <w:rPr>
                <w:rFonts w:cs="Times New Roman"/>
                <w:color w:val="000000" w:themeColor="text1"/>
                <w:w w:val="95"/>
              </w:rPr>
              <w:t>di</w:t>
            </w:r>
            <w:r w:rsidRPr="00E27564">
              <w:rPr>
                <w:rFonts w:cs="Times New Roman"/>
                <w:color w:val="000000" w:themeColor="text1"/>
                <w:spacing w:val="-3"/>
                <w:w w:val="95"/>
              </w:rPr>
              <w:t xml:space="preserve"> </w:t>
            </w:r>
            <w:r w:rsidRPr="00E27564">
              <w:rPr>
                <w:rFonts w:cs="Times New Roman"/>
                <w:color w:val="000000" w:themeColor="text1"/>
                <w:w w:val="95"/>
              </w:rPr>
              <w:t>provvedere</w:t>
            </w:r>
            <w:r w:rsidRPr="00E27564">
              <w:rPr>
                <w:rFonts w:cs="Times New Roman"/>
                <w:color w:val="000000" w:themeColor="text1"/>
                <w:spacing w:val="4"/>
                <w:w w:val="95"/>
              </w:rPr>
              <w:t xml:space="preserve"> </w:t>
            </w:r>
            <w:r w:rsidRPr="00E27564">
              <w:rPr>
                <w:rFonts w:cs="Times New Roman"/>
                <w:color w:val="000000" w:themeColor="text1"/>
                <w:w w:val="95"/>
              </w:rPr>
              <w:t>quanto</w:t>
            </w:r>
            <w:r w:rsidRPr="00E27564">
              <w:rPr>
                <w:rFonts w:cs="Times New Roman"/>
                <w:color w:val="000000" w:themeColor="text1"/>
                <w:spacing w:val="14"/>
                <w:w w:val="95"/>
              </w:rPr>
              <w:t xml:space="preserve"> </w:t>
            </w:r>
            <w:r w:rsidRPr="00E27564">
              <w:rPr>
                <w:rFonts w:cs="Times New Roman"/>
                <w:color w:val="000000" w:themeColor="text1"/>
                <w:w w:val="95"/>
              </w:rPr>
              <w:t>prima</w:t>
            </w:r>
            <w:r w:rsidRPr="00E27564">
              <w:rPr>
                <w:rFonts w:cs="Times New Roman"/>
                <w:color w:val="000000" w:themeColor="text1"/>
                <w:spacing w:val="-2"/>
                <w:w w:val="95"/>
              </w:rPr>
              <w:t xml:space="preserve"> </w:t>
            </w:r>
            <w:r w:rsidRPr="00E27564">
              <w:rPr>
                <w:rFonts w:cs="Times New Roman"/>
                <w:color w:val="000000" w:themeColor="text1"/>
                <w:w w:val="95"/>
              </w:rPr>
              <w:t>a</w:t>
            </w:r>
            <w:r w:rsidRPr="00E27564">
              <w:rPr>
                <w:rFonts w:cs="Times New Roman"/>
                <w:color w:val="000000" w:themeColor="text1"/>
                <w:spacing w:val="-14"/>
                <w:w w:val="95"/>
              </w:rPr>
              <w:t xml:space="preserve"> </w:t>
            </w:r>
            <w:r w:rsidRPr="00E27564">
              <w:rPr>
                <w:rFonts w:cs="Times New Roman"/>
                <w:color w:val="000000" w:themeColor="text1"/>
                <w:w w:val="95"/>
              </w:rPr>
              <w:t>definire</w:t>
            </w:r>
            <w:r w:rsidRPr="00E27564">
              <w:rPr>
                <w:rFonts w:cs="Times New Roman"/>
                <w:color w:val="000000" w:themeColor="text1"/>
                <w:spacing w:val="2"/>
                <w:w w:val="95"/>
              </w:rPr>
              <w:t xml:space="preserve"> </w:t>
            </w:r>
            <w:r w:rsidRPr="00E27564">
              <w:rPr>
                <w:rFonts w:cs="Times New Roman"/>
                <w:color w:val="000000" w:themeColor="text1"/>
                <w:w w:val="95"/>
              </w:rPr>
              <w:t>chiaramente</w:t>
            </w:r>
            <w:r w:rsidRPr="00E27564">
              <w:rPr>
                <w:rFonts w:cs="Times New Roman"/>
                <w:color w:val="000000" w:themeColor="text1"/>
                <w:spacing w:val="14"/>
                <w:w w:val="95"/>
              </w:rPr>
              <w:t xml:space="preserve"> </w:t>
            </w:r>
            <w:r w:rsidRPr="00E27564">
              <w:rPr>
                <w:rFonts w:cs="Times New Roman"/>
                <w:color w:val="000000" w:themeColor="text1"/>
                <w:w w:val="95"/>
              </w:rPr>
              <w:t>i</w:t>
            </w:r>
            <w:r w:rsidRPr="00E27564">
              <w:rPr>
                <w:rFonts w:cs="Times New Roman"/>
                <w:color w:val="000000" w:themeColor="text1"/>
                <w:spacing w:val="13"/>
                <w:w w:val="95"/>
              </w:rPr>
              <w:t xml:space="preserve"> </w:t>
            </w:r>
            <w:r w:rsidRPr="00E27564">
              <w:rPr>
                <w:rFonts w:cs="Times New Roman"/>
                <w:color w:val="000000" w:themeColor="text1"/>
                <w:w w:val="95"/>
              </w:rPr>
              <w:t>criteri</w:t>
            </w:r>
            <w:r w:rsidRPr="00E27564">
              <w:rPr>
                <w:rFonts w:cs="Times New Roman"/>
                <w:color w:val="000000" w:themeColor="text1"/>
                <w:spacing w:val="4"/>
                <w:w w:val="95"/>
              </w:rPr>
              <w:t xml:space="preserve"> </w:t>
            </w:r>
            <w:r w:rsidRPr="00E27564">
              <w:rPr>
                <w:rFonts w:cs="Times New Roman"/>
                <w:color w:val="000000" w:themeColor="text1"/>
                <w:w w:val="95"/>
              </w:rPr>
              <w:t>di accesso</w:t>
            </w:r>
            <w:r w:rsidRPr="00E27564">
              <w:rPr>
                <w:rFonts w:cs="Times New Roman"/>
                <w:color w:val="000000" w:themeColor="text1"/>
                <w:spacing w:val="10"/>
                <w:w w:val="95"/>
              </w:rPr>
              <w:t xml:space="preserve"> </w:t>
            </w:r>
            <w:r w:rsidRPr="00E27564">
              <w:rPr>
                <w:rFonts w:cs="Times New Roman"/>
                <w:color w:val="000000" w:themeColor="text1"/>
                <w:w w:val="95"/>
              </w:rPr>
              <w:t>e</w:t>
            </w:r>
            <w:r w:rsidRPr="00E27564">
              <w:rPr>
                <w:rFonts w:cs="Times New Roman"/>
                <w:color w:val="000000" w:themeColor="text1"/>
                <w:spacing w:val="-10"/>
                <w:w w:val="95"/>
              </w:rPr>
              <w:t xml:space="preserve"> </w:t>
            </w:r>
            <w:r w:rsidRPr="00E27564">
              <w:rPr>
                <w:rFonts w:cs="Times New Roman"/>
                <w:color w:val="000000" w:themeColor="text1"/>
                <w:w w:val="95"/>
              </w:rPr>
              <w:t>di</w:t>
            </w:r>
            <w:r w:rsidRPr="00E27564">
              <w:rPr>
                <w:rFonts w:cs="Times New Roman"/>
                <w:color w:val="000000" w:themeColor="text1"/>
                <w:spacing w:val="8"/>
                <w:w w:val="95"/>
              </w:rPr>
              <w:t xml:space="preserve"> </w:t>
            </w:r>
            <w:r w:rsidRPr="00E27564">
              <w:rPr>
                <w:rFonts w:cs="Times New Roman"/>
                <w:color w:val="000000" w:themeColor="text1"/>
                <w:w w:val="95"/>
              </w:rPr>
              <w:t>cooperazione nella ROC</w:t>
            </w:r>
            <w:r w:rsidRPr="00E27564">
              <w:rPr>
                <w:rFonts w:cs="Times New Roman"/>
                <w:color w:val="000000" w:themeColor="text1"/>
                <w:w w:val="90"/>
              </w:rPr>
              <w:t xml:space="preserve"> delle</w:t>
            </w:r>
            <w:r w:rsidRPr="00E27564">
              <w:rPr>
                <w:rFonts w:cs="Times New Roman"/>
                <w:color w:val="000000" w:themeColor="text1"/>
                <w:spacing w:val="3"/>
                <w:w w:val="90"/>
              </w:rPr>
              <w:t xml:space="preserve"> </w:t>
            </w:r>
            <w:r w:rsidRPr="00E27564">
              <w:rPr>
                <w:rFonts w:cs="Times New Roman"/>
                <w:color w:val="000000" w:themeColor="text1"/>
                <w:w w:val="90"/>
              </w:rPr>
              <w:t>organizzazioni</w:t>
            </w:r>
            <w:r w:rsidRPr="00E27564">
              <w:rPr>
                <w:rFonts w:cs="Times New Roman"/>
                <w:color w:val="000000" w:themeColor="text1"/>
                <w:spacing w:val="6"/>
                <w:w w:val="90"/>
              </w:rPr>
              <w:t xml:space="preserve"> </w:t>
            </w:r>
            <w:r w:rsidRPr="00E27564">
              <w:rPr>
                <w:rFonts w:cs="Times New Roman"/>
                <w:color w:val="000000" w:themeColor="text1"/>
                <w:w w:val="90"/>
              </w:rPr>
              <w:t>di</w:t>
            </w:r>
            <w:r w:rsidRPr="00E27564">
              <w:rPr>
                <w:rFonts w:cs="Times New Roman"/>
                <w:color w:val="000000" w:themeColor="text1"/>
                <w:spacing w:val="17"/>
                <w:w w:val="90"/>
              </w:rPr>
              <w:t xml:space="preserve"> </w:t>
            </w:r>
            <w:r w:rsidRPr="00E27564">
              <w:rPr>
                <w:rFonts w:cs="Times New Roman"/>
                <w:color w:val="000000" w:themeColor="text1"/>
                <w:w w:val="90"/>
              </w:rPr>
              <w:t>volontariato</w:t>
            </w:r>
            <w:r w:rsidRPr="00E27564">
              <w:rPr>
                <w:rFonts w:cs="Times New Roman"/>
                <w:color w:val="000000" w:themeColor="text1"/>
                <w:spacing w:val="45"/>
                <w:w w:val="90"/>
              </w:rPr>
              <w:t xml:space="preserve"> </w:t>
            </w:r>
            <w:r w:rsidRPr="00E27564">
              <w:rPr>
                <w:rFonts w:cs="Times New Roman"/>
                <w:color w:val="000000" w:themeColor="text1"/>
                <w:w w:val="90"/>
              </w:rPr>
              <w:t>nelle</w:t>
            </w:r>
            <w:r w:rsidRPr="00E27564">
              <w:rPr>
                <w:rFonts w:cs="Times New Roman"/>
                <w:color w:val="000000" w:themeColor="text1"/>
                <w:spacing w:val="4"/>
                <w:w w:val="90"/>
              </w:rPr>
              <w:t xml:space="preserve"> </w:t>
            </w:r>
            <w:r w:rsidRPr="00E27564">
              <w:rPr>
                <w:rFonts w:cs="Times New Roman"/>
                <w:color w:val="000000" w:themeColor="text1"/>
                <w:w w:val="90"/>
              </w:rPr>
              <w:t>UU.OO.CC</w:t>
            </w:r>
            <w:r w:rsidRPr="00E27564">
              <w:rPr>
                <w:rFonts w:cs="Times New Roman"/>
                <w:color w:val="000000" w:themeColor="text1"/>
                <w:spacing w:val="20"/>
                <w:w w:val="90"/>
              </w:rPr>
              <w:t xml:space="preserve"> </w:t>
            </w:r>
            <w:r w:rsidRPr="00E27564">
              <w:rPr>
                <w:rFonts w:cs="Times New Roman"/>
                <w:color w:val="000000" w:themeColor="text1"/>
                <w:w w:val="90"/>
              </w:rPr>
              <w:t>di</w:t>
            </w:r>
            <w:r w:rsidRPr="00E27564">
              <w:rPr>
                <w:rFonts w:cs="Times New Roman"/>
                <w:color w:val="000000" w:themeColor="text1"/>
                <w:spacing w:val="14"/>
                <w:w w:val="90"/>
              </w:rPr>
              <w:t xml:space="preserve"> </w:t>
            </w:r>
            <w:r w:rsidRPr="00E27564">
              <w:rPr>
                <w:rFonts w:cs="Times New Roman"/>
                <w:color w:val="000000" w:themeColor="text1"/>
                <w:w w:val="90"/>
              </w:rPr>
              <w:t>onco-ematologia</w:t>
            </w:r>
            <w:r w:rsidRPr="00E27564">
              <w:rPr>
                <w:rFonts w:cs="Times New Roman"/>
                <w:color w:val="000000" w:themeColor="text1"/>
                <w:spacing w:val="9"/>
                <w:w w:val="90"/>
              </w:rPr>
              <w:t xml:space="preserve"> </w:t>
            </w:r>
            <w:r w:rsidRPr="00E27564">
              <w:rPr>
                <w:rFonts w:cs="Times New Roman"/>
                <w:color w:val="000000" w:themeColor="text1"/>
                <w:w w:val="90"/>
              </w:rPr>
              <w:t>e</w:t>
            </w:r>
            <w:r w:rsidRPr="00E27564">
              <w:rPr>
                <w:rFonts w:cs="Times New Roman"/>
                <w:color w:val="000000" w:themeColor="text1"/>
                <w:spacing w:val="-1"/>
                <w:w w:val="90"/>
              </w:rPr>
              <w:t xml:space="preserve"> </w:t>
            </w:r>
            <w:r w:rsidRPr="00E27564">
              <w:rPr>
                <w:rFonts w:cs="Times New Roman"/>
                <w:color w:val="000000" w:themeColor="text1"/>
                <w:w w:val="90"/>
              </w:rPr>
              <w:t>nelle</w:t>
            </w:r>
            <w:r w:rsidRPr="00E27564">
              <w:rPr>
                <w:rFonts w:cs="Times New Roman"/>
                <w:color w:val="000000" w:themeColor="text1"/>
                <w:spacing w:val="5"/>
                <w:w w:val="90"/>
              </w:rPr>
              <w:t xml:space="preserve"> </w:t>
            </w:r>
            <w:r w:rsidRPr="00E27564">
              <w:rPr>
                <w:rFonts w:cs="Times New Roman"/>
                <w:color w:val="000000" w:themeColor="text1"/>
                <w:w w:val="90"/>
              </w:rPr>
              <w:t>strutture</w:t>
            </w:r>
            <w:r w:rsidRPr="00E27564">
              <w:rPr>
                <w:rFonts w:cs="Times New Roman"/>
                <w:color w:val="000000" w:themeColor="text1"/>
                <w:spacing w:val="14"/>
                <w:w w:val="90"/>
              </w:rPr>
              <w:t xml:space="preserve"> </w:t>
            </w:r>
            <w:r w:rsidRPr="00E27564">
              <w:rPr>
                <w:rFonts w:cs="Times New Roman"/>
                <w:color w:val="000000" w:themeColor="text1"/>
                <w:w w:val="90"/>
              </w:rPr>
              <w:t>di</w:t>
            </w:r>
            <w:r w:rsidRPr="00E27564">
              <w:rPr>
                <w:rFonts w:cs="Times New Roman"/>
                <w:color w:val="000000" w:themeColor="text1"/>
                <w:spacing w:val="12"/>
                <w:w w:val="90"/>
              </w:rPr>
              <w:t xml:space="preserve"> </w:t>
            </w:r>
            <w:r w:rsidRPr="00E27564">
              <w:rPr>
                <w:rFonts w:cs="Times New Roman"/>
                <w:color w:val="000000" w:themeColor="text1"/>
                <w:w w:val="90"/>
              </w:rPr>
              <w:t>Hospice,</w:t>
            </w:r>
            <w:r w:rsidRPr="00E27564">
              <w:rPr>
                <w:rFonts w:cs="Times New Roman"/>
                <w:color w:val="000000" w:themeColor="text1"/>
                <w:spacing w:val="12"/>
                <w:w w:val="90"/>
              </w:rPr>
              <w:t xml:space="preserve"> </w:t>
            </w:r>
            <w:r w:rsidRPr="00E27564">
              <w:rPr>
                <w:rFonts w:cs="Times New Roman"/>
                <w:color w:val="000000" w:themeColor="text1"/>
                <w:w w:val="90"/>
              </w:rPr>
              <w:t>e/o</w:t>
            </w:r>
            <w:r w:rsidRPr="00E27564">
              <w:rPr>
                <w:rFonts w:cs="Times New Roman"/>
                <w:color w:val="000000" w:themeColor="text1"/>
                <w:spacing w:val="10"/>
                <w:w w:val="90"/>
              </w:rPr>
              <w:t xml:space="preserve"> </w:t>
            </w:r>
            <w:r w:rsidRPr="00E27564">
              <w:rPr>
                <w:rFonts w:cs="Times New Roman"/>
                <w:color w:val="000000" w:themeColor="text1"/>
                <w:w w:val="90"/>
              </w:rPr>
              <w:t>nei</w:t>
            </w:r>
            <w:r w:rsidRPr="00E27564">
              <w:rPr>
                <w:rFonts w:cs="Times New Roman"/>
                <w:color w:val="000000" w:themeColor="text1"/>
                <w:spacing w:val="1"/>
                <w:w w:val="90"/>
              </w:rPr>
              <w:t xml:space="preserve"> </w:t>
            </w:r>
            <w:r w:rsidRPr="00E27564">
              <w:rPr>
                <w:rFonts w:cs="Times New Roman"/>
                <w:color w:val="000000" w:themeColor="text1"/>
              </w:rPr>
              <w:t>percorsi</w:t>
            </w:r>
            <w:r w:rsidRPr="00E27564">
              <w:rPr>
                <w:rFonts w:cs="Times New Roman"/>
                <w:color w:val="000000" w:themeColor="text1"/>
                <w:spacing w:val="3"/>
              </w:rPr>
              <w:t xml:space="preserve"> </w:t>
            </w:r>
            <w:r w:rsidRPr="00E27564">
              <w:rPr>
                <w:rFonts w:cs="Times New Roman"/>
                <w:color w:val="000000" w:themeColor="text1"/>
              </w:rPr>
              <w:t>di</w:t>
            </w:r>
            <w:r w:rsidRPr="00E27564">
              <w:rPr>
                <w:rFonts w:cs="Times New Roman"/>
                <w:color w:val="000000" w:themeColor="text1"/>
                <w:spacing w:val="-6"/>
              </w:rPr>
              <w:t xml:space="preserve"> </w:t>
            </w:r>
            <w:r w:rsidRPr="00E27564">
              <w:rPr>
                <w:rFonts w:cs="Times New Roman"/>
                <w:color w:val="000000" w:themeColor="text1"/>
              </w:rPr>
              <w:t>Cure</w:t>
            </w:r>
            <w:r w:rsidRPr="00E27564">
              <w:rPr>
                <w:rFonts w:cs="Times New Roman"/>
                <w:color w:val="000000" w:themeColor="text1"/>
                <w:spacing w:val="-11"/>
              </w:rPr>
              <w:t xml:space="preserve"> </w:t>
            </w:r>
            <w:r w:rsidRPr="00E27564">
              <w:rPr>
                <w:rFonts w:cs="Times New Roman"/>
                <w:color w:val="000000" w:themeColor="text1"/>
              </w:rPr>
              <w:t>Palliative</w:t>
            </w:r>
            <w:r w:rsidRPr="00E27564">
              <w:rPr>
                <w:rFonts w:cs="Times New Roman"/>
                <w:color w:val="000000" w:themeColor="text1"/>
                <w:w w:val="95"/>
              </w:rPr>
              <w:t>,</w:t>
            </w:r>
            <w:r w:rsidRPr="00E27564">
              <w:rPr>
                <w:rFonts w:cs="Times New Roman"/>
                <w:color w:val="000000" w:themeColor="text1"/>
                <w:spacing w:val="2"/>
                <w:w w:val="95"/>
              </w:rPr>
              <w:t xml:space="preserve"> </w:t>
            </w:r>
            <w:r w:rsidRPr="00E27564">
              <w:rPr>
                <w:rFonts w:cs="Times New Roman"/>
                <w:color w:val="000000" w:themeColor="text1"/>
                <w:w w:val="95"/>
              </w:rPr>
              <w:t>ai</w:t>
            </w:r>
            <w:r w:rsidRPr="00E27564">
              <w:rPr>
                <w:rFonts w:cs="Times New Roman"/>
                <w:color w:val="000000" w:themeColor="text1"/>
                <w:spacing w:val="6"/>
                <w:w w:val="95"/>
              </w:rPr>
              <w:t xml:space="preserve"> </w:t>
            </w:r>
            <w:r w:rsidRPr="00E27564">
              <w:rPr>
                <w:rFonts w:cs="Times New Roman"/>
                <w:color w:val="000000" w:themeColor="text1"/>
                <w:w w:val="95"/>
              </w:rPr>
              <w:t>sensi</w:t>
            </w:r>
            <w:r w:rsidRPr="00E27564">
              <w:rPr>
                <w:rFonts w:cs="Times New Roman"/>
                <w:color w:val="000000" w:themeColor="text1"/>
                <w:spacing w:val="10"/>
                <w:w w:val="95"/>
              </w:rPr>
              <w:t xml:space="preserve"> </w:t>
            </w:r>
            <w:r w:rsidRPr="00E27564">
              <w:rPr>
                <w:rFonts w:cs="Times New Roman"/>
                <w:color w:val="000000" w:themeColor="text1"/>
                <w:w w:val="95"/>
              </w:rPr>
              <w:t>dell’Accordo Stato Regioni del 17/04/2019</w:t>
            </w:r>
            <w:r w:rsidRPr="00E27564">
              <w:rPr>
                <w:rFonts w:cs="Times New Roman"/>
                <w:color w:val="000000" w:themeColor="text1"/>
              </w:rPr>
              <w:t xml:space="preserve"> </w:t>
            </w:r>
          </w:p>
          <w:p w14:paraId="066104AB" w14:textId="77777777" w:rsidR="00E27564" w:rsidRPr="00E27564" w:rsidRDefault="00E27564" w:rsidP="00E27564">
            <w:pPr>
              <w:pStyle w:val="Corpotesto"/>
              <w:numPr>
                <w:ilvl w:val="0"/>
                <w:numId w:val="9"/>
              </w:numPr>
              <w:tabs>
                <w:tab w:val="left" w:pos="856"/>
              </w:tabs>
              <w:spacing w:before="30"/>
              <w:jc w:val="both"/>
              <w:rPr>
                <w:rFonts w:cs="Times New Roman"/>
                <w:color w:val="000000" w:themeColor="text1"/>
              </w:rPr>
            </w:pPr>
            <w:r w:rsidRPr="00E27564">
              <w:rPr>
                <w:rFonts w:cs="Times New Roman"/>
                <w:color w:val="000000" w:themeColor="text1"/>
                <w:w w:val="90"/>
              </w:rPr>
              <w:t>Si auspica che la ROC avvii percorsi</w:t>
            </w:r>
            <w:r w:rsidRPr="00E27564">
              <w:rPr>
                <w:rFonts w:cs="Times New Roman"/>
                <w:color w:val="000000" w:themeColor="text1"/>
                <w:spacing w:val="1"/>
                <w:w w:val="90"/>
              </w:rPr>
              <w:t xml:space="preserve"> </w:t>
            </w:r>
            <w:r w:rsidRPr="00E27564">
              <w:rPr>
                <w:rFonts w:cs="Times New Roman"/>
                <w:color w:val="000000" w:themeColor="text1"/>
                <w:w w:val="90"/>
              </w:rPr>
              <w:t>di riconoscimento</w:t>
            </w:r>
            <w:r w:rsidRPr="00E27564">
              <w:rPr>
                <w:rFonts w:cs="Times New Roman"/>
                <w:color w:val="000000" w:themeColor="text1"/>
                <w:spacing w:val="-7"/>
              </w:rPr>
              <w:t xml:space="preserve"> </w:t>
            </w:r>
            <w:r w:rsidRPr="00E27564">
              <w:rPr>
                <w:rFonts w:cs="Times New Roman"/>
                <w:color w:val="000000" w:themeColor="text1"/>
              </w:rPr>
              <w:t>e</w:t>
            </w:r>
            <w:r w:rsidRPr="00E27564">
              <w:rPr>
                <w:rFonts w:cs="Times New Roman"/>
                <w:color w:val="000000" w:themeColor="text1"/>
                <w:spacing w:val="-17"/>
              </w:rPr>
              <w:t xml:space="preserve"> </w:t>
            </w:r>
            <w:r w:rsidRPr="00E27564">
              <w:rPr>
                <w:rFonts w:cs="Times New Roman"/>
                <w:color w:val="000000" w:themeColor="text1"/>
              </w:rPr>
              <w:t>sostegno</w:t>
            </w:r>
            <w:r w:rsidRPr="00E27564">
              <w:rPr>
                <w:rFonts w:cs="Times New Roman"/>
                <w:color w:val="000000" w:themeColor="text1"/>
                <w:spacing w:val="5"/>
              </w:rPr>
              <w:t xml:space="preserve"> </w:t>
            </w:r>
            <w:r w:rsidRPr="00E27564">
              <w:rPr>
                <w:rFonts w:cs="Times New Roman"/>
                <w:color w:val="000000" w:themeColor="text1"/>
              </w:rPr>
              <w:t>ad</w:t>
            </w:r>
            <w:r w:rsidRPr="00E27564">
              <w:rPr>
                <w:rFonts w:cs="Times New Roman"/>
                <w:color w:val="000000" w:themeColor="text1"/>
                <w:spacing w:val="-17"/>
              </w:rPr>
              <w:t xml:space="preserve"> </w:t>
            </w:r>
            <w:r w:rsidRPr="00E27564">
              <w:rPr>
                <w:rFonts w:cs="Times New Roman"/>
                <w:color w:val="000000" w:themeColor="text1"/>
              </w:rPr>
              <w:t>alcuni</w:t>
            </w:r>
            <w:r w:rsidRPr="00E27564">
              <w:rPr>
                <w:rFonts w:cs="Times New Roman"/>
                <w:color w:val="000000" w:themeColor="text1"/>
                <w:spacing w:val="-2"/>
              </w:rPr>
              <w:t xml:space="preserve"> </w:t>
            </w:r>
            <w:r w:rsidRPr="00E27564">
              <w:rPr>
                <w:rFonts w:cs="Times New Roman"/>
                <w:color w:val="000000" w:themeColor="text1"/>
              </w:rPr>
              <w:t>peculiari</w:t>
            </w:r>
            <w:r w:rsidRPr="00E27564">
              <w:rPr>
                <w:rFonts w:cs="Times New Roman"/>
                <w:color w:val="000000" w:themeColor="text1"/>
                <w:spacing w:val="4"/>
              </w:rPr>
              <w:t xml:space="preserve"> </w:t>
            </w:r>
            <w:r w:rsidRPr="00E27564">
              <w:rPr>
                <w:rFonts w:cs="Times New Roman"/>
                <w:color w:val="000000" w:themeColor="text1"/>
              </w:rPr>
              <w:t>bisogni</w:t>
            </w:r>
            <w:r w:rsidRPr="00E27564">
              <w:rPr>
                <w:rFonts w:cs="Times New Roman"/>
                <w:color w:val="000000" w:themeColor="text1"/>
                <w:spacing w:val="3"/>
              </w:rPr>
              <w:t xml:space="preserve"> </w:t>
            </w:r>
            <w:r w:rsidRPr="00E27564">
              <w:rPr>
                <w:rFonts w:cs="Times New Roman"/>
                <w:color w:val="000000" w:themeColor="text1"/>
              </w:rPr>
              <w:t>dai</w:t>
            </w:r>
            <w:r w:rsidRPr="00E27564">
              <w:rPr>
                <w:rFonts w:cs="Times New Roman"/>
                <w:color w:val="000000" w:themeColor="text1"/>
                <w:spacing w:val="-3"/>
              </w:rPr>
              <w:t xml:space="preserve"> </w:t>
            </w:r>
            <w:r w:rsidRPr="00E27564">
              <w:rPr>
                <w:rFonts w:cs="Times New Roman"/>
                <w:color w:val="000000" w:themeColor="text1"/>
              </w:rPr>
              <w:t xml:space="preserve">pazienti, quali </w:t>
            </w:r>
            <w:r w:rsidRPr="00E27564">
              <w:rPr>
                <w:rFonts w:cs="Times New Roman"/>
                <w:color w:val="000000" w:themeColor="text1"/>
                <w:w w:val="90"/>
              </w:rPr>
              <w:t>incontinenza</w:t>
            </w:r>
            <w:r w:rsidRPr="00E27564">
              <w:rPr>
                <w:rFonts w:cs="Times New Roman"/>
                <w:color w:val="000000" w:themeColor="text1"/>
                <w:spacing w:val="35"/>
                <w:w w:val="90"/>
              </w:rPr>
              <w:t xml:space="preserve"> </w:t>
            </w:r>
            <w:r w:rsidRPr="00E27564">
              <w:rPr>
                <w:rFonts w:cs="Times New Roman"/>
                <w:color w:val="000000" w:themeColor="text1"/>
                <w:w w:val="90"/>
              </w:rPr>
              <w:t xml:space="preserve">uro-fecale, </w:t>
            </w:r>
            <w:r w:rsidRPr="00E27564">
              <w:rPr>
                <w:rFonts w:cs="Times New Roman"/>
                <w:color w:val="000000" w:themeColor="text1"/>
                <w:w w:val="95"/>
              </w:rPr>
              <w:t>perdita</w:t>
            </w:r>
            <w:r w:rsidRPr="00E27564">
              <w:rPr>
                <w:rFonts w:cs="Times New Roman"/>
                <w:color w:val="000000" w:themeColor="text1"/>
                <w:spacing w:val="6"/>
                <w:w w:val="95"/>
              </w:rPr>
              <w:t xml:space="preserve"> </w:t>
            </w:r>
            <w:r w:rsidRPr="00E27564">
              <w:rPr>
                <w:rFonts w:cs="Times New Roman"/>
                <w:color w:val="000000" w:themeColor="text1"/>
                <w:w w:val="95"/>
              </w:rPr>
              <w:t>della</w:t>
            </w:r>
            <w:r w:rsidRPr="00E27564">
              <w:rPr>
                <w:rFonts w:cs="Times New Roman"/>
                <w:color w:val="000000" w:themeColor="text1"/>
                <w:spacing w:val="18"/>
                <w:w w:val="95"/>
              </w:rPr>
              <w:t xml:space="preserve"> </w:t>
            </w:r>
            <w:r w:rsidRPr="00E27564">
              <w:rPr>
                <w:rFonts w:cs="Times New Roman"/>
                <w:color w:val="000000" w:themeColor="text1"/>
                <w:w w:val="95"/>
              </w:rPr>
              <w:t>capacità</w:t>
            </w:r>
            <w:r w:rsidRPr="00E27564">
              <w:rPr>
                <w:rFonts w:cs="Times New Roman"/>
                <w:color w:val="000000" w:themeColor="text1"/>
                <w:spacing w:val="20"/>
                <w:w w:val="95"/>
              </w:rPr>
              <w:t xml:space="preserve"> </w:t>
            </w:r>
            <w:r w:rsidRPr="00E27564">
              <w:rPr>
                <w:rFonts w:cs="Times New Roman"/>
                <w:color w:val="000000" w:themeColor="text1"/>
                <w:w w:val="95"/>
              </w:rPr>
              <w:t xml:space="preserve">riproduttiva, </w:t>
            </w:r>
            <w:r w:rsidRPr="00E27564">
              <w:rPr>
                <w:rFonts w:cs="Times New Roman"/>
                <w:color w:val="000000" w:themeColor="text1"/>
                <w:w w:val="90"/>
              </w:rPr>
              <w:t>perdita</w:t>
            </w:r>
            <w:r w:rsidRPr="00E27564">
              <w:rPr>
                <w:rFonts w:cs="Times New Roman"/>
                <w:color w:val="000000" w:themeColor="text1"/>
                <w:spacing w:val="16"/>
                <w:w w:val="90"/>
              </w:rPr>
              <w:t xml:space="preserve"> </w:t>
            </w:r>
            <w:r w:rsidRPr="00E27564">
              <w:rPr>
                <w:rFonts w:cs="Times New Roman"/>
                <w:color w:val="000000" w:themeColor="text1"/>
                <w:w w:val="90"/>
              </w:rPr>
              <w:t>della</w:t>
            </w:r>
            <w:r w:rsidRPr="00E27564">
              <w:rPr>
                <w:rFonts w:cs="Times New Roman"/>
                <w:color w:val="000000" w:themeColor="text1"/>
                <w:spacing w:val="22"/>
                <w:w w:val="90"/>
              </w:rPr>
              <w:t xml:space="preserve"> </w:t>
            </w:r>
            <w:r w:rsidRPr="00E27564">
              <w:rPr>
                <w:rFonts w:cs="Times New Roman"/>
                <w:color w:val="000000" w:themeColor="text1"/>
                <w:w w:val="90"/>
              </w:rPr>
              <w:t>libido</w:t>
            </w:r>
            <w:r w:rsidRPr="00E27564">
              <w:rPr>
                <w:rFonts w:cs="Times New Roman"/>
                <w:color w:val="000000" w:themeColor="text1"/>
                <w:spacing w:val="15"/>
                <w:w w:val="90"/>
              </w:rPr>
              <w:t xml:space="preserve"> </w:t>
            </w:r>
            <w:r w:rsidRPr="00E27564">
              <w:rPr>
                <w:rFonts w:cs="Times New Roman"/>
                <w:color w:val="000000" w:themeColor="text1"/>
                <w:w w:val="90"/>
              </w:rPr>
              <w:t>e</w:t>
            </w:r>
            <w:r w:rsidRPr="00E27564">
              <w:rPr>
                <w:rFonts w:cs="Times New Roman"/>
                <w:color w:val="000000" w:themeColor="text1"/>
                <w:spacing w:val="4"/>
                <w:w w:val="90"/>
              </w:rPr>
              <w:t xml:space="preserve"> </w:t>
            </w:r>
            <w:r w:rsidRPr="00E27564">
              <w:rPr>
                <w:rFonts w:cs="Times New Roman"/>
                <w:color w:val="000000" w:themeColor="text1"/>
                <w:w w:val="90"/>
              </w:rPr>
              <w:t>incapacità</w:t>
            </w:r>
            <w:r w:rsidRPr="00E27564">
              <w:rPr>
                <w:rFonts w:cs="Times New Roman"/>
                <w:color w:val="000000" w:themeColor="text1"/>
                <w:spacing w:val="16"/>
                <w:w w:val="90"/>
              </w:rPr>
              <w:t xml:space="preserve"> </w:t>
            </w:r>
            <w:r w:rsidRPr="00E27564">
              <w:rPr>
                <w:rFonts w:cs="Times New Roman"/>
                <w:color w:val="000000" w:themeColor="text1"/>
                <w:w w:val="90"/>
              </w:rPr>
              <w:t>al</w:t>
            </w:r>
            <w:r w:rsidRPr="00E27564">
              <w:rPr>
                <w:rFonts w:cs="Times New Roman"/>
                <w:color w:val="000000" w:themeColor="text1"/>
                <w:spacing w:val="12"/>
                <w:w w:val="90"/>
              </w:rPr>
              <w:t xml:space="preserve"> </w:t>
            </w:r>
            <w:r w:rsidRPr="00E27564">
              <w:rPr>
                <w:rFonts w:cs="Times New Roman"/>
                <w:color w:val="000000" w:themeColor="text1"/>
                <w:w w:val="90"/>
              </w:rPr>
              <w:t>pieno</w:t>
            </w:r>
            <w:r w:rsidRPr="00E27564">
              <w:rPr>
                <w:rFonts w:cs="Times New Roman"/>
                <w:color w:val="000000" w:themeColor="text1"/>
                <w:spacing w:val="29"/>
                <w:w w:val="90"/>
              </w:rPr>
              <w:t xml:space="preserve"> </w:t>
            </w:r>
            <w:r w:rsidRPr="00E27564">
              <w:rPr>
                <w:rFonts w:cs="Times New Roman"/>
                <w:color w:val="000000" w:themeColor="text1"/>
                <w:w w:val="90"/>
              </w:rPr>
              <w:t>godimento</w:t>
            </w:r>
            <w:r w:rsidRPr="00E27564">
              <w:rPr>
                <w:rFonts w:cs="Times New Roman"/>
                <w:color w:val="000000" w:themeColor="text1"/>
                <w:spacing w:val="31"/>
                <w:w w:val="90"/>
              </w:rPr>
              <w:t xml:space="preserve"> </w:t>
            </w:r>
            <w:r w:rsidRPr="00E27564">
              <w:rPr>
                <w:rFonts w:cs="Times New Roman"/>
                <w:color w:val="000000" w:themeColor="text1"/>
                <w:w w:val="90"/>
              </w:rPr>
              <w:t>della</w:t>
            </w:r>
            <w:r w:rsidRPr="00E27564">
              <w:rPr>
                <w:rFonts w:cs="Times New Roman"/>
                <w:color w:val="000000" w:themeColor="text1"/>
                <w:spacing w:val="15"/>
                <w:w w:val="90"/>
              </w:rPr>
              <w:t xml:space="preserve"> </w:t>
            </w:r>
            <w:r w:rsidRPr="00E27564">
              <w:rPr>
                <w:rFonts w:cs="Times New Roman"/>
                <w:color w:val="000000" w:themeColor="text1"/>
                <w:w w:val="90"/>
              </w:rPr>
              <w:t>propria</w:t>
            </w:r>
            <w:r w:rsidRPr="00E27564">
              <w:rPr>
                <w:rFonts w:cs="Times New Roman"/>
                <w:color w:val="000000" w:themeColor="text1"/>
                <w:spacing w:val="18"/>
                <w:w w:val="90"/>
              </w:rPr>
              <w:t xml:space="preserve"> </w:t>
            </w:r>
            <w:r w:rsidRPr="00E27564">
              <w:rPr>
                <w:rFonts w:cs="Times New Roman"/>
                <w:color w:val="000000" w:themeColor="text1"/>
                <w:w w:val="90"/>
              </w:rPr>
              <w:t>sessualità,</w:t>
            </w:r>
            <w:r w:rsidRPr="00E27564">
              <w:rPr>
                <w:rFonts w:cs="Times New Roman"/>
                <w:color w:val="000000" w:themeColor="text1"/>
              </w:rPr>
              <w:t xml:space="preserve"> che </w:t>
            </w:r>
            <w:r w:rsidRPr="00E27564">
              <w:rPr>
                <w:rFonts w:cs="Times New Roman"/>
                <w:color w:val="000000" w:themeColor="text1"/>
                <w:w w:val="90"/>
              </w:rPr>
              <w:t>impattano</w:t>
            </w:r>
            <w:r w:rsidRPr="00E27564">
              <w:rPr>
                <w:rFonts w:cs="Times New Roman"/>
                <w:color w:val="000000" w:themeColor="text1"/>
                <w:spacing w:val="32"/>
                <w:w w:val="90"/>
              </w:rPr>
              <w:t xml:space="preserve"> </w:t>
            </w:r>
            <w:r w:rsidRPr="00E27564">
              <w:rPr>
                <w:rFonts w:cs="Times New Roman"/>
                <w:color w:val="000000" w:themeColor="text1"/>
                <w:w w:val="90"/>
              </w:rPr>
              <w:t>in</w:t>
            </w:r>
            <w:r w:rsidRPr="00E27564">
              <w:rPr>
                <w:rFonts w:cs="Times New Roman"/>
                <w:color w:val="000000" w:themeColor="text1"/>
                <w:spacing w:val="-7"/>
                <w:w w:val="90"/>
              </w:rPr>
              <w:t xml:space="preserve"> </w:t>
            </w:r>
            <w:r w:rsidRPr="00E27564">
              <w:rPr>
                <w:rFonts w:cs="Times New Roman"/>
                <w:color w:val="000000" w:themeColor="text1"/>
                <w:w w:val="90"/>
              </w:rPr>
              <w:t>maniera</w:t>
            </w:r>
            <w:r w:rsidRPr="00E27564">
              <w:rPr>
                <w:rFonts w:cs="Times New Roman"/>
                <w:color w:val="000000" w:themeColor="text1"/>
                <w:spacing w:val="26"/>
                <w:w w:val="90"/>
              </w:rPr>
              <w:t xml:space="preserve"> </w:t>
            </w:r>
            <w:r w:rsidRPr="00E27564">
              <w:rPr>
                <w:rFonts w:cs="Times New Roman"/>
                <w:color w:val="000000" w:themeColor="text1"/>
                <w:w w:val="90"/>
              </w:rPr>
              <w:t>notevole</w:t>
            </w:r>
            <w:r w:rsidRPr="00E27564">
              <w:rPr>
                <w:rFonts w:cs="Times New Roman"/>
                <w:color w:val="000000" w:themeColor="text1"/>
                <w:spacing w:val="39"/>
                <w:w w:val="90"/>
              </w:rPr>
              <w:t xml:space="preserve"> </w:t>
            </w:r>
            <w:r w:rsidRPr="00E27564">
              <w:rPr>
                <w:rFonts w:cs="Times New Roman"/>
                <w:color w:val="000000" w:themeColor="text1"/>
                <w:w w:val="90"/>
              </w:rPr>
              <w:t>su</w:t>
            </w:r>
            <w:r w:rsidRPr="00E27564">
              <w:rPr>
                <w:rFonts w:cs="Times New Roman"/>
                <w:color w:val="000000" w:themeColor="text1"/>
                <w:spacing w:val="13"/>
                <w:w w:val="90"/>
              </w:rPr>
              <w:t xml:space="preserve"> </w:t>
            </w:r>
            <w:r w:rsidRPr="00E27564">
              <w:rPr>
                <w:rFonts w:cs="Times New Roman"/>
                <w:color w:val="000000" w:themeColor="text1"/>
                <w:w w:val="90"/>
              </w:rPr>
              <w:t>emozioni,</w:t>
            </w:r>
            <w:r w:rsidRPr="00E27564">
              <w:rPr>
                <w:rFonts w:cs="Times New Roman"/>
                <w:color w:val="000000" w:themeColor="text1"/>
                <w:spacing w:val="26"/>
                <w:w w:val="90"/>
              </w:rPr>
              <w:t xml:space="preserve"> </w:t>
            </w:r>
            <w:r w:rsidRPr="00E27564">
              <w:rPr>
                <w:rFonts w:cs="Times New Roman"/>
                <w:color w:val="000000" w:themeColor="text1"/>
                <w:w w:val="90"/>
              </w:rPr>
              <w:t>sentimenti</w:t>
            </w:r>
            <w:r w:rsidRPr="00E27564">
              <w:rPr>
                <w:rFonts w:cs="Times New Roman"/>
                <w:color w:val="000000" w:themeColor="text1"/>
                <w:spacing w:val="40"/>
                <w:w w:val="90"/>
              </w:rPr>
              <w:t xml:space="preserve"> </w:t>
            </w:r>
            <w:r w:rsidRPr="00E27564">
              <w:rPr>
                <w:rFonts w:cs="Times New Roman"/>
                <w:color w:val="000000" w:themeColor="text1"/>
                <w:w w:val="90"/>
              </w:rPr>
              <w:t>e</w:t>
            </w:r>
            <w:r w:rsidRPr="00E27564">
              <w:rPr>
                <w:rFonts w:cs="Times New Roman"/>
                <w:color w:val="000000" w:themeColor="text1"/>
                <w:spacing w:val="3"/>
                <w:w w:val="90"/>
              </w:rPr>
              <w:t xml:space="preserve"> </w:t>
            </w:r>
            <w:r w:rsidRPr="00E27564">
              <w:rPr>
                <w:rFonts w:cs="Times New Roman"/>
                <w:color w:val="000000" w:themeColor="text1"/>
                <w:w w:val="90"/>
              </w:rPr>
              <w:t>desideri</w:t>
            </w:r>
            <w:r w:rsidRPr="00E27564">
              <w:rPr>
                <w:rFonts w:cs="Times New Roman"/>
                <w:color w:val="000000" w:themeColor="text1"/>
                <w:spacing w:val="42"/>
                <w:w w:val="90"/>
              </w:rPr>
              <w:t xml:space="preserve">. </w:t>
            </w:r>
          </w:p>
          <w:p w14:paraId="52FCBDB5" w14:textId="77777777" w:rsidR="00E27564" w:rsidRPr="00E27564" w:rsidRDefault="00E27564" w:rsidP="00E27564">
            <w:pPr>
              <w:pStyle w:val="Corpotesto"/>
              <w:numPr>
                <w:ilvl w:val="0"/>
                <w:numId w:val="9"/>
              </w:numPr>
              <w:tabs>
                <w:tab w:val="left" w:pos="851"/>
              </w:tabs>
              <w:spacing w:before="26"/>
              <w:jc w:val="both"/>
              <w:rPr>
                <w:rFonts w:cs="Times New Roman"/>
                <w:bCs/>
                <w:color w:val="000000" w:themeColor="text1"/>
                <w:w w:val="90"/>
              </w:rPr>
            </w:pPr>
            <w:r w:rsidRPr="00E27564">
              <w:rPr>
                <w:rFonts w:cs="Times New Roman"/>
                <w:color w:val="000000" w:themeColor="text1"/>
                <w:w w:val="90"/>
              </w:rPr>
              <w:t xml:space="preserve">Per favorire l’ideazione di questi percorsi assistenziali, la Rete Oncologica Campana dovrebbe effettuare una specifica ricognizione delle risorse umane, </w:t>
            </w:r>
            <w:r w:rsidRPr="00E27564">
              <w:rPr>
                <w:rFonts w:cs="Times New Roman"/>
                <w:bCs/>
                <w:color w:val="000000" w:themeColor="text1"/>
                <w:w w:val="90"/>
              </w:rPr>
              <w:t>(e determinare le piante organiche minime)</w:t>
            </w:r>
            <w:r w:rsidRPr="00E27564">
              <w:rPr>
                <w:rFonts w:cs="Times New Roman"/>
                <w:color w:val="000000" w:themeColor="text1"/>
                <w:w w:val="90"/>
              </w:rPr>
              <w:t xml:space="preserve"> ed in modo particolare di psicologi, nutrizionisti e farmacisti, professionisti che meglio possano contribuire a definire dei percorsi assistenziali volti al miglioramento della qualità della vita dei pazienti (</w:t>
            </w:r>
            <w:r w:rsidRPr="00E27564">
              <w:rPr>
                <w:rFonts w:cs="Times New Roman"/>
                <w:bCs/>
                <w:color w:val="000000" w:themeColor="text1"/>
                <w:w w:val="90"/>
              </w:rPr>
              <w:t>ed ad accelerare i tempi di disponibilità degli ausili terapeutici).</w:t>
            </w:r>
          </w:p>
          <w:p w14:paraId="45069B53" w14:textId="77777777" w:rsidR="00E27564" w:rsidRPr="00E27564" w:rsidRDefault="00E27564" w:rsidP="00E27564">
            <w:pPr>
              <w:pStyle w:val="Corpotesto"/>
              <w:numPr>
                <w:ilvl w:val="0"/>
                <w:numId w:val="9"/>
              </w:numPr>
              <w:tabs>
                <w:tab w:val="left" w:pos="851"/>
              </w:tabs>
              <w:spacing w:before="26"/>
              <w:jc w:val="both"/>
              <w:rPr>
                <w:rFonts w:cs="Times New Roman"/>
                <w:bCs/>
                <w:color w:val="000000" w:themeColor="text1"/>
                <w:w w:val="90"/>
              </w:rPr>
            </w:pPr>
            <w:r w:rsidRPr="00E27564">
              <w:rPr>
                <w:rFonts w:cs="Times New Roman"/>
                <w:bCs/>
                <w:color w:val="000000" w:themeColor="text1"/>
                <w:w w:val="90"/>
              </w:rPr>
              <w:t>Si auspica che tutti i Corp, Corpus e GOM della R.O.C, rendano pubblici i dati di performance sulla tempistica di erogazione dei servizi diagnostico-terapeutici-assistenziali, previsti nei PDTA.</w:t>
            </w:r>
          </w:p>
          <w:p w14:paraId="29819F70" w14:textId="77777777" w:rsidR="00E27564" w:rsidRPr="00E27564" w:rsidRDefault="00E27564" w:rsidP="00E27564">
            <w:pPr>
              <w:pStyle w:val="Corpotesto"/>
              <w:numPr>
                <w:ilvl w:val="0"/>
                <w:numId w:val="9"/>
              </w:numPr>
              <w:tabs>
                <w:tab w:val="left" w:pos="851"/>
              </w:tabs>
              <w:spacing w:before="26"/>
              <w:jc w:val="both"/>
              <w:rPr>
                <w:rFonts w:cs="Times New Roman"/>
                <w:bCs/>
                <w:color w:val="000000" w:themeColor="text1"/>
                <w:w w:val="90"/>
              </w:rPr>
            </w:pPr>
            <w:r w:rsidRPr="00E27564">
              <w:rPr>
                <w:rFonts w:cs="Times New Roman"/>
                <w:bCs/>
                <w:color w:val="000000" w:themeColor="text1"/>
                <w:w w:val="90"/>
              </w:rPr>
              <w:t>Si suggerisce, in quei setting di comunicazione col paziente ad elevata complessità, di far coadiuvare il case manager con lo psicologo.</w:t>
            </w:r>
          </w:p>
          <w:p w14:paraId="6CCE4ED2" w14:textId="77777777" w:rsidR="00E27564" w:rsidRPr="00E27564" w:rsidRDefault="00E27564" w:rsidP="00E27564">
            <w:pPr>
              <w:pStyle w:val="Corpotesto"/>
              <w:numPr>
                <w:ilvl w:val="0"/>
                <w:numId w:val="9"/>
              </w:numPr>
              <w:tabs>
                <w:tab w:val="left" w:pos="851"/>
              </w:tabs>
              <w:spacing w:before="26"/>
              <w:jc w:val="both"/>
              <w:rPr>
                <w:rFonts w:cs="Times New Roman"/>
                <w:bCs/>
                <w:color w:val="000000" w:themeColor="text1"/>
                <w:w w:val="90"/>
              </w:rPr>
            </w:pPr>
            <w:r w:rsidRPr="00E27564">
              <w:rPr>
                <w:rFonts w:cs="Times New Roman"/>
                <w:bCs/>
                <w:color w:val="000000" w:themeColor="text1"/>
                <w:w w:val="90"/>
              </w:rPr>
              <w:t xml:space="preserve">Si auspica una sensibile accelerazione dei setting di formazione sul corretto uso della piattaforma ROC a favore dei MMG, e l’automatico accreditamento dei MMG i cui pazienti vengono registrati in piattaforma. </w:t>
            </w:r>
          </w:p>
        </w:tc>
      </w:tr>
    </w:tbl>
    <w:p w14:paraId="02389A14" w14:textId="77777777" w:rsidR="00E27564" w:rsidRPr="00E27564" w:rsidRDefault="00E27564" w:rsidP="00E27564">
      <w:pPr>
        <w:tabs>
          <w:tab w:val="left" w:pos="1394"/>
        </w:tabs>
        <w:jc w:val="both"/>
        <w:rPr>
          <w:rFonts w:ascii="Times New Roman" w:hAnsi="Times New Roman" w:cs="Times New Roman"/>
          <w:sz w:val="24"/>
          <w:szCs w:val="24"/>
        </w:rPr>
      </w:pPr>
    </w:p>
    <w:p w14:paraId="01AB50B8" w14:textId="77777777" w:rsidR="00955A9B" w:rsidRPr="00E27564" w:rsidRDefault="00955A9B" w:rsidP="00955A9B">
      <w:pPr>
        <w:spacing w:line="360" w:lineRule="auto"/>
        <w:jc w:val="both"/>
        <w:rPr>
          <w:rFonts w:ascii="Times New Roman" w:hAnsi="Times New Roman" w:cs="Times New Roman"/>
          <w:sz w:val="24"/>
          <w:szCs w:val="24"/>
        </w:rPr>
      </w:pPr>
    </w:p>
    <w:p w14:paraId="20C7B75C" w14:textId="77777777" w:rsidR="00512114" w:rsidRPr="00955A9B" w:rsidRDefault="00512114" w:rsidP="00955A9B">
      <w:pPr>
        <w:spacing w:line="360" w:lineRule="auto"/>
        <w:jc w:val="both"/>
        <w:rPr>
          <w:rFonts w:ascii="Times New Roman" w:hAnsi="Times New Roman" w:cs="Times New Roman"/>
          <w:sz w:val="24"/>
          <w:szCs w:val="24"/>
        </w:rPr>
      </w:pPr>
    </w:p>
    <w:sectPr w:rsidR="00512114" w:rsidRPr="00955A9B" w:rsidSect="0073660C">
      <w:headerReference w:type="default" r:id="rId23"/>
      <w:foot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B077A" w14:textId="77777777" w:rsidR="005A0EF0" w:rsidRDefault="005A0EF0" w:rsidP="00BA175B">
      <w:pPr>
        <w:spacing w:after="0" w:line="240" w:lineRule="auto"/>
      </w:pPr>
      <w:r>
        <w:separator/>
      </w:r>
    </w:p>
  </w:endnote>
  <w:endnote w:type="continuationSeparator" w:id="0">
    <w:p w14:paraId="765F3A8F" w14:textId="77777777" w:rsidR="005A0EF0" w:rsidRDefault="005A0EF0" w:rsidP="00BA1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inionPro-Regular">
    <w:altName w:val="MS Gothic"/>
    <w:charset w:val="80"/>
    <w:family w:val="roman"/>
    <w:pitch w:val="default"/>
    <w:sig w:usb0="00000000" w:usb1="08070000" w:usb2="00000010" w:usb3="00000000" w:csb0="00020000" w:csb1="00000000"/>
  </w:font>
  <w:font w:name="MinionPro-I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233817"/>
      <w:docPartObj>
        <w:docPartGallery w:val="Page Numbers (Bottom of Page)"/>
        <w:docPartUnique/>
      </w:docPartObj>
    </w:sdtPr>
    <w:sdtEndPr>
      <w:rPr>
        <w:rFonts w:ascii="Times New Roman" w:hAnsi="Times New Roman" w:cs="Times New Roman"/>
      </w:rPr>
    </w:sdtEndPr>
    <w:sdtContent>
      <w:p w14:paraId="3CC2E32E" w14:textId="1D3ECE5F" w:rsidR="001040D4" w:rsidRPr="00CC14B6" w:rsidRDefault="001040D4">
        <w:pPr>
          <w:pStyle w:val="Pidipagina"/>
          <w:jc w:val="right"/>
          <w:rPr>
            <w:rFonts w:ascii="Times New Roman" w:hAnsi="Times New Roman" w:cs="Times New Roman"/>
          </w:rPr>
        </w:pPr>
        <w:r w:rsidRPr="00CC14B6">
          <w:rPr>
            <w:rFonts w:ascii="Times New Roman" w:hAnsi="Times New Roman" w:cs="Times New Roman"/>
          </w:rPr>
          <w:fldChar w:fldCharType="begin"/>
        </w:r>
        <w:r w:rsidRPr="00CC14B6">
          <w:rPr>
            <w:rFonts w:ascii="Times New Roman" w:hAnsi="Times New Roman" w:cs="Times New Roman"/>
          </w:rPr>
          <w:instrText>PAGE   \* MERGEFORMAT</w:instrText>
        </w:r>
        <w:r w:rsidRPr="00CC14B6">
          <w:rPr>
            <w:rFonts w:ascii="Times New Roman" w:hAnsi="Times New Roman" w:cs="Times New Roman"/>
          </w:rPr>
          <w:fldChar w:fldCharType="separate"/>
        </w:r>
        <w:r w:rsidR="00997A42">
          <w:rPr>
            <w:rFonts w:ascii="Times New Roman" w:hAnsi="Times New Roman" w:cs="Times New Roman"/>
            <w:noProof/>
          </w:rPr>
          <w:t>2</w:t>
        </w:r>
        <w:r w:rsidRPr="00CC14B6">
          <w:rPr>
            <w:rFonts w:ascii="Times New Roman" w:hAnsi="Times New Roman" w:cs="Times New Roman"/>
          </w:rPr>
          <w:fldChar w:fldCharType="end"/>
        </w:r>
      </w:p>
    </w:sdtContent>
  </w:sdt>
  <w:p w14:paraId="1B923900" w14:textId="0EE8B703" w:rsidR="001040D4" w:rsidRPr="00C449AA" w:rsidRDefault="001040D4">
    <w:pPr>
      <w:pStyle w:val="Pidipagin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18341" w14:textId="77777777" w:rsidR="005A0EF0" w:rsidRDefault="005A0EF0" w:rsidP="00BA175B">
      <w:pPr>
        <w:spacing w:after="0" w:line="240" w:lineRule="auto"/>
      </w:pPr>
      <w:r>
        <w:separator/>
      </w:r>
    </w:p>
  </w:footnote>
  <w:footnote w:type="continuationSeparator" w:id="0">
    <w:p w14:paraId="7EDABD44" w14:textId="77777777" w:rsidR="005A0EF0" w:rsidRDefault="005A0EF0" w:rsidP="00BA175B">
      <w:pPr>
        <w:spacing w:after="0" w:line="240" w:lineRule="auto"/>
      </w:pPr>
      <w:r>
        <w:continuationSeparator/>
      </w:r>
    </w:p>
  </w:footnote>
  <w:footnote w:id="1">
    <w:p w14:paraId="70CBD8AE" w14:textId="7F9F1BC9" w:rsidR="001040D4" w:rsidRDefault="001040D4" w:rsidP="00EA11C4">
      <w:pPr>
        <w:pStyle w:val="Testonotaapidipagina"/>
      </w:pPr>
      <w:r>
        <w:rPr>
          <w:rStyle w:val="Rimandonotaapidipagina"/>
        </w:rPr>
        <w:footnoteRef/>
      </w:r>
      <w:r>
        <w:t xml:space="preserve"> </w:t>
      </w:r>
      <w:r w:rsidR="000E62BF">
        <w:rPr>
          <w:rFonts w:ascii="Times New Roman" w:hAnsi="Times New Roman" w:cs="Times New Roman"/>
        </w:rPr>
        <w:t>ESMO (European Society for Medical Oncology) 2022 Guidelines for gastric cancer.</w:t>
      </w:r>
    </w:p>
  </w:footnote>
  <w:footnote w:id="2">
    <w:p w14:paraId="7F121C8E" w14:textId="77777777" w:rsidR="005A2B27" w:rsidRPr="00AD41B3" w:rsidRDefault="005A2B27" w:rsidP="005A2B27">
      <w:pPr>
        <w:pStyle w:val="Default"/>
        <w:rPr>
          <w:sz w:val="20"/>
          <w:szCs w:val="20"/>
        </w:rPr>
      </w:pPr>
      <w:r w:rsidRPr="003638B2">
        <w:rPr>
          <w:rStyle w:val="Rimandonotaapidipagina"/>
          <w:sz w:val="22"/>
          <w:szCs w:val="22"/>
        </w:rPr>
        <w:footnoteRef/>
      </w:r>
      <w:r w:rsidRPr="003638B2">
        <w:rPr>
          <w:sz w:val="22"/>
          <w:szCs w:val="22"/>
        </w:rPr>
        <w:t xml:space="preserve"> </w:t>
      </w:r>
      <w:r w:rsidRPr="00AD41B3">
        <w:rPr>
          <w:sz w:val="20"/>
          <w:szCs w:val="20"/>
        </w:rPr>
        <w:t xml:space="preserve">JRC-ENCR: ECIS - European Cancer Information System (tassi standardizzati su popolazione europea 2013). </w:t>
      </w:r>
    </w:p>
    <w:p w14:paraId="74DE7AC1" w14:textId="77777777" w:rsidR="005A2B27" w:rsidRPr="00AD41B3" w:rsidRDefault="005A2B27" w:rsidP="005A2B27">
      <w:pPr>
        <w:pStyle w:val="Testonotaapidipagina"/>
        <w:rPr>
          <w:rFonts w:ascii="Times New Roman" w:hAnsi="Times New Roman" w:cs="Times New Roman"/>
        </w:rPr>
      </w:pPr>
      <w:r>
        <w:rPr>
          <w:rFonts w:ascii="Times New Roman" w:hAnsi="Times New Roman" w:cs="Times New Roman"/>
        </w:rPr>
        <w:t xml:space="preserve">    </w:t>
      </w:r>
      <w:r w:rsidRPr="00AD41B3">
        <w:rPr>
          <w:rFonts w:ascii="Times New Roman" w:hAnsi="Times New Roman" w:cs="Times New Roman"/>
        </w:rPr>
        <w:t xml:space="preserve">https://ecis.jrc.ec.europa.eu/  </w:t>
      </w:r>
    </w:p>
  </w:footnote>
  <w:footnote w:id="3">
    <w:p w14:paraId="16183208" w14:textId="78C678A5" w:rsidR="005A2B27" w:rsidRDefault="005A2B27" w:rsidP="005A2B27">
      <w:pPr>
        <w:pStyle w:val="Testonotaapidipagina"/>
        <w:rPr>
          <w:rFonts w:ascii="Times New Roman" w:hAnsi="Times New Roman" w:cs="Times New Roman"/>
        </w:rPr>
      </w:pPr>
      <w:r w:rsidRPr="005A2B27">
        <w:rPr>
          <w:rStyle w:val="Rimandonotaapidipagina"/>
        </w:rPr>
        <w:footnoteRef/>
      </w:r>
      <w:r w:rsidRPr="005A2B27">
        <w:t xml:space="preserve"> </w:t>
      </w:r>
      <w:bookmarkStart w:id="2" w:name="_Hlk61851247"/>
      <w:r w:rsidR="003638B2">
        <w:rPr>
          <w:rFonts w:ascii="Times New Roman" w:hAnsi="Times New Roman" w:cs="Times New Roman"/>
        </w:rPr>
        <w:t>I numeri del cancro in Italia 202</w:t>
      </w:r>
      <w:r w:rsidR="00F9594D">
        <w:rPr>
          <w:rFonts w:ascii="Times New Roman" w:hAnsi="Times New Roman" w:cs="Times New Roman"/>
        </w:rPr>
        <w:t>4</w:t>
      </w:r>
      <w:r w:rsidR="003638B2">
        <w:rPr>
          <w:rFonts w:ascii="Times New Roman" w:hAnsi="Times New Roman" w:cs="Times New Roman"/>
        </w:rPr>
        <w:t xml:space="preserve"> – AIRTUM, Intermedia Editore</w:t>
      </w:r>
      <w:r w:rsidRPr="003D7460">
        <w:rPr>
          <w:rFonts w:ascii="Times New Roman" w:hAnsi="Times New Roman" w:cs="Times New Roman"/>
        </w:rPr>
        <w:t>.</w:t>
      </w:r>
      <w:bookmarkEnd w:id="2"/>
    </w:p>
    <w:p w14:paraId="5859585D" w14:textId="4C4AD437" w:rsidR="009E0E05" w:rsidRDefault="009E0E05" w:rsidP="005A2B27">
      <w:pPr>
        <w:pStyle w:val="Testonotaapidipagina"/>
      </w:pPr>
      <w:r w:rsidRPr="009E0E05">
        <w:rPr>
          <w:rFonts w:ascii="Times New Roman" w:hAnsi="Times New Roman" w:cs="Times New Roman"/>
          <w:vertAlign w:val="superscript"/>
        </w:rPr>
        <w:t>4</w:t>
      </w:r>
      <w:r>
        <w:rPr>
          <w:rFonts w:ascii="Times New Roman" w:hAnsi="Times New Roman" w:cs="Times New Roman"/>
        </w:rPr>
        <w:t xml:space="preserve"> </w:t>
      </w:r>
      <w:r w:rsidRPr="003D7460">
        <w:rPr>
          <w:rFonts w:ascii="Times New Roman" w:hAnsi="Times New Roman" w:cs="Times New Roman"/>
        </w:rPr>
        <w:t>Dati Registro Tumori Regione Campania (tassi standardizzati su popolazione europea 2013)</w:t>
      </w:r>
    </w:p>
  </w:footnote>
  <w:footnote w:id="4">
    <w:p w14:paraId="0927CD27" w14:textId="5E172B7F" w:rsidR="005A2B27" w:rsidRDefault="005A2B27" w:rsidP="005A2B27">
      <w:pPr>
        <w:pStyle w:val="Testonotaapidipagina"/>
      </w:pPr>
      <w:r>
        <w:rPr>
          <w:rStyle w:val="Rimandonotaapidipagina"/>
        </w:rPr>
        <w:footnoteRef/>
      </w:r>
      <w:r w:rsidRPr="004C2B97">
        <w:t xml:space="preserve"> </w:t>
      </w:r>
      <w:r w:rsidRPr="00FA09DA">
        <w:rPr>
          <w:rFonts w:ascii="Times New Roman" w:hAnsi="Times New Roman"/>
        </w:rPr>
        <w:t>Razionale scientifico Rete Oncologica Regione Campania – DGRG 477 del 04/11/2021</w:t>
      </w:r>
    </w:p>
  </w:footnote>
  <w:footnote w:id="5">
    <w:p w14:paraId="0E43D473" w14:textId="26BBCE91" w:rsidR="00B12E59" w:rsidRDefault="00B12E59" w:rsidP="00B12E59">
      <w:pPr>
        <w:pStyle w:val="Testonotaapidipagina"/>
        <w:rPr>
          <w:rFonts w:ascii="Times New Roman" w:hAnsi="Times New Roman" w:cs="Times New Roman"/>
        </w:rPr>
      </w:pPr>
      <w:r>
        <w:rPr>
          <w:vertAlign w:val="superscript"/>
        </w:rPr>
        <w:t>1</w:t>
      </w:r>
      <w:r>
        <w:t xml:space="preserve">  </w:t>
      </w:r>
      <w:r>
        <w:rPr>
          <w:rFonts w:ascii="Times New Roman" w:hAnsi="Times New Roman" w:cs="Times New Roman"/>
        </w:rPr>
        <w:t>ESMO (European Society for Medical Oncology) 2022 Guidelines for oesophageal cancer.</w:t>
      </w:r>
    </w:p>
    <w:p w14:paraId="050270A4" w14:textId="710F39B7" w:rsidR="00AD73BC" w:rsidRPr="00AD73BC" w:rsidRDefault="00AD73BC" w:rsidP="00B12E59">
      <w:pPr>
        <w:pStyle w:val="Testonotaapidipagina"/>
      </w:pPr>
      <w:r w:rsidRPr="00AD73BC">
        <w:rPr>
          <w:vertAlign w:val="superscript"/>
        </w:rPr>
        <w:t>2</w:t>
      </w:r>
      <w:r>
        <w:t xml:space="preserve"> </w:t>
      </w:r>
      <w:r>
        <w:rPr>
          <w:rFonts w:ascii="Times New Roman" w:hAnsi="Times New Roman" w:cs="Times New Roman"/>
        </w:rPr>
        <w:t>I numeri del cancro in Italia 202</w:t>
      </w:r>
      <w:r w:rsidR="00256856">
        <w:rPr>
          <w:rFonts w:ascii="Times New Roman" w:hAnsi="Times New Roman" w:cs="Times New Roman"/>
        </w:rPr>
        <w:t>4</w:t>
      </w:r>
      <w:r>
        <w:rPr>
          <w:rFonts w:ascii="Times New Roman" w:hAnsi="Times New Roman" w:cs="Times New Roman"/>
        </w:rPr>
        <w:t xml:space="preserve"> – AIRTUM, Intermedia Editore.</w:t>
      </w:r>
    </w:p>
    <w:p w14:paraId="2E636A32" w14:textId="6C7B4F2D" w:rsidR="004C2B97" w:rsidRDefault="00AD73BC" w:rsidP="004C2B97">
      <w:pPr>
        <w:pStyle w:val="Testonotaapidipagina"/>
      </w:pPr>
      <w:r>
        <w:rPr>
          <w:rStyle w:val="Rimandonotaapidipagina"/>
        </w:rPr>
        <w:t>5</w:t>
      </w:r>
      <w:r w:rsidR="004C2B97">
        <w:t xml:space="preserve"> </w:t>
      </w:r>
      <w:r w:rsidR="004C2B97" w:rsidRPr="003D7460">
        <w:rPr>
          <w:rFonts w:ascii="Times New Roman" w:hAnsi="Times New Roman" w:cs="Times New Roman"/>
        </w:rPr>
        <w:t>Dati Registro Tumori Regione Campania (tassi standardizzati su popolazione europea 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D7F72" w14:textId="0778EF45" w:rsidR="001040D4" w:rsidRDefault="001040D4">
    <w:pPr>
      <w:pStyle w:val="Intestazione"/>
    </w:pPr>
    <w:r w:rsidRPr="00CC14B6">
      <w:rPr>
        <w:rFonts w:ascii="Times New Roman" w:hAnsi="Times New Roman" w:cs="Times New Roman"/>
        <w:noProof/>
        <w:sz w:val="24"/>
        <w:szCs w:val="24"/>
        <w:lang w:eastAsia="it-IT"/>
      </w:rPr>
      <w:drawing>
        <wp:anchor distT="0" distB="0" distL="114300" distR="114300" simplePos="0" relativeHeight="251625472" behindDoc="1" locked="0" layoutInCell="1" allowOverlap="1" wp14:anchorId="457FE76F" wp14:editId="18D58BFE">
          <wp:simplePos x="0" y="0"/>
          <wp:positionH relativeFrom="page">
            <wp:posOffset>723900</wp:posOffset>
          </wp:positionH>
          <wp:positionV relativeFrom="page">
            <wp:posOffset>238125</wp:posOffset>
          </wp:positionV>
          <wp:extent cx="876300" cy="658409"/>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65840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E294EF5E"/>
    <w:lvl w:ilvl="0" w:tplc="0410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8037901"/>
    <w:multiLevelType w:val="hybridMultilevel"/>
    <w:tmpl w:val="301056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235370"/>
    <w:multiLevelType w:val="hybridMultilevel"/>
    <w:tmpl w:val="301056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A62D68"/>
    <w:multiLevelType w:val="hybridMultilevel"/>
    <w:tmpl w:val="4A36593C"/>
    <w:lvl w:ilvl="0" w:tplc="D7E06A6C">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3E9D40">
      <w:start w:val="1"/>
      <w:numFmt w:val="bullet"/>
      <w:lvlText w:val="o"/>
      <w:lvlJc w:val="left"/>
      <w:pPr>
        <w:ind w:left="1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92653C">
      <w:start w:val="1"/>
      <w:numFmt w:val="bullet"/>
      <w:lvlText w:val="▪"/>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4813B0">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E0F14">
      <w:start w:val="1"/>
      <w:numFmt w:val="bullet"/>
      <w:lvlText w:val="o"/>
      <w:lvlJc w:val="left"/>
      <w:pPr>
        <w:ind w:left="3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8D57A">
      <w:start w:val="1"/>
      <w:numFmt w:val="bullet"/>
      <w:lvlText w:val="▪"/>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04BA08">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96A184">
      <w:start w:val="1"/>
      <w:numFmt w:val="bullet"/>
      <w:lvlText w:val="o"/>
      <w:lvlJc w:val="left"/>
      <w:pPr>
        <w:ind w:left="5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569EC4">
      <w:start w:val="1"/>
      <w:numFmt w:val="bullet"/>
      <w:lvlText w:val="▪"/>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BC3ECE"/>
    <w:multiLevelType w:val="multilevel"/>
    <w:tmpl w:val="3DFC514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35E13F6B"/>
    <w:multiLevelType w:val="hybridMultilevel"/>
    <w:tmpl w:val="643CE9E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44B294E"/>
    <w:multiLevelType w:val="hybridMultilevel"/>
    <w:tmpl w:val="301056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B554468"/>
    <w:multiLevelType w:val="hybridMultilevel"/>
    <w:tmpl w:val="301056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D0850FF"/>
    <w:multiLevelType w:val="hybridMultilevel"/>
    <w:tmpl w:val="1D7C9F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17B5301"/>
    <w:multiLevelType w:val="hybridMultilevel"/>
    <w:tmpl w:val="0792DBAA"/>
    <w:lvl w:ilvl="0" w:tplc="FFFFFFFF">
      <w:start w:val="1"/>
      <w:numFmt w:val="bullet"/>
      <w:lvlText w:val="-"/>
      <w:lvlJc w:val="left"/>
      <w:pPr>
        <w:ind w:left="860" w:hanging="360"/>
      </w:pPr>
    </w:lvl>
    <w:lvl w:ilvl="1" w:tplc="04100003" w:tentative="1">
      <w:start w:val="1"/>
      <w:numFmt w:val="bullet"/>
      <w:lvlText w:val="o"/>
      <w:lvlJc w:val="left"/>
      <w:pPr>
        <w:ind w:left="1580" w:hanging="360"/>
      </w:pPr>
      <w:rPr>
        <w:rFonts w:ascii="Courier New" w:hAnsi="Courier New" w:cs="Courier New" w:hint="default"/>
      </w:rPr>
    </w:lvl>
    <w:lvl w:ilvl="2" w:tplc="04100005" w:tentative="1">
      <w:start w:val="1"/>
      <w:numFmt w:val="bullet"/>
      <w:lvlText w:val=""/>
      <w:lvlJc w:val="left"/>
      <w:pPr>
        <w:ind w:left="2300" w:hanging="360"/>
      </w:pPr>
      <w:rPr>
        <w:rFonts w:ascii="Wingdings" w:hAnsi="Wingdings" w:hint="default"/>
      </w:rPr>
    </w:lvl>
    <w:lvl w:ilvl="3" w:tplc="04100001" w:tentative="1">
      <w:start w:val="1"/>
      <w:numFmt w:val="bullet"/>
      <w:lvlText w:val=""/>
      <w:lvlJc w:val="left"/>
      <w:pPr>
        <w:ind w:left="3020" w:hanging="360"/>
      </w:pPr>
      <w:rPr>
        <w:rFonts w:ascii="Symbol" w:hAnsi="Symbol" w:hint="default"/>
      </w:rPr>
    </w:lvl>
    <w:lvl w:ilvl="4" w:tplc="04100003" w:tentative="1">
      <w:start w:val="1"/>
      <w:numFmt w:val="bullet"/>
      <w:lvlText w:val="o"/>
      <w:lvlJc w:val="left"/>
      <w:pPr>
        <w:ind w:left="3740" w:hanging="360"/>
      </w:pPr>
      <w:rPr>
        <w:rFonts w:ascii="Courier New" w:hAnsi="Courier New" w:cs="Courier New" w:hint="default"/>
      </w:rPr>
    </w:lvl>
    <w:lvl w:ilvl="5" w:tplc="04100005" w:tentative="1">
      <w:start w:val="1"/>
      <w:numFmt w:val="bullet"/>
      <w:lvlText w:val=""/>
      <w:lvlJc w:val="left"/>
      <w:pPr>
        <w:ind w:left="4460" w:hanging="360"/>
      </w:pPr>
      <w:rPr>
        <w:rFonts w:ascii="Wingdings" w:hAnsi="Wingdings" w:hint="default"/>
      </w:rPr>
    </w:lvl>
    <w:lvl w:ilvl="6" w:tplc="04100001" w:tentative="1">
      <w:start w:val="1"/>
      <w:numFmt w:val="bullet"/>
      <w:lvlText w:val=""/>
      <w:lvlJc w:val="left"/>
      <w:pPr>
        <w:ind w:left="5180" w:hanging="360"/>
      </w:pPr>
      <w:rPr>
        <w:rFonts w:ascii="Symbol" w:hAnsi="Symbol" w:hint="default"/>
      </w:rPr>
    </w:lvl>
    <w:lvl w:ilvl="7" w:tplc="04100003" w:tentative="1">
      <w:start w:val="1"/>
      <w:numFmt w:val="bullet"/>
      <w:lvlText w:val="o"/>
      <w:lvlJc w:val="left"/>
      <w:pPr>
        <w:ind w:left="5900" w:hanging="360"/>
      </w:pPr>
      <w:rPr>
        <w:rFonts w:ascii="Courier New" w:hAnsi="Courier New" w:cs="Courier New" w:hint="default"/>
      </w:rPr>
    </w:lvl>
    <w:lvl w:ilvl="8" w:tplc="04100005" w:tentative="1">
      <w:start w:val="1"/>
      <w:numFmt w:val="bullet"/>
      <w:lvlText w:val=""/>
      <w:lvlJc w:val="left"/>
      <w:pPr>
        <w:ind w:left="6620" w:hanging="360"/>
      </w:pPr>
      <w:rPr>
        <w:rFonts w:ascii="Wingdings" w:hAnsi="Wingdings" w:hint="default"/>
      </w:rPr>
    </w:lvl>
  </w:abstractNum>
  <w:abstractNum w:abstractNumId="13" w15:restartNumberingAfterBreak="0">
    <w:nsid w:val="7383473C"/>
    <w:multiLevelType w:val="hybridMultilevel"/>
    <w:tmpl w:val="F58CA1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11"/>
  </w:num>
  <w:num w:numId="5">
    <w:abstractNumId w:val="7"/>
  </w:num>
  <w:num w:numId="6">
    <w:abstractNumId w:val="13"/>
  </w:num>
  <w:num w:numId="7">
    <w:abstractNumId w:val="8"/>
  </w:num>
  <w:num w:numId="8">
    <w:abstractNumId w:val="5"/>
  </w:num>
  <w:num w:numId="9">
    <w:abstractNumId w:val="6"/>
  </w:num>
  <w:num w:numId="10">
    <w:abstractNumId w:val="12"/>
  </w:num>
  <w:num w:numId="11">
    <w:abstractNumId w:val="3"/>
  </w:num>
  <w:num w:numId="12">
    <w:abstractNumId w:val="4"/>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7A"/>
    <w:rsid w:val="00012086"/>
    <w:rsid w:val="00045C69"/>
    <w:rsid w:val="000468EC"/>
    <w:rsid w:val="00063303"/>
    <w:rsid w:val="000720D8"/>
    <w:rsid w:val="00082046"/>
    <w:rsid w:val="00090773"/>
    <w:rsid w:val="00093EFB"/>
    <w:rsid w:val="000959E1"/>
    <w:rsid w:val="00097D31"/>
    <w:rsid w:val="000A029C"/>
    <w:rsid w:val="000A667F"/>
    <w:rsid w:val="000B7F56"/>
    <w:rsid w:val="000D04FC"/>
    <w:rsid w:val="000D17F6"/>
    <w:rsid w:val="000D2A83"/>
    <w:rsid w:val="000E02E3"/>
    <w:rsid w:val="000E62BF"/>
    <w:rsid w:val="000F2E04"/>
    <w:rsid w:val="000F5485"/>
    <w:rsid w:val="000F7093"/>
    <w:rsid w:val="000F756A"/>
    <w:rsid w:val="000F7689"/>
    <w:rsid w:val="0010035F"/>
    <w:rsid w:val="001040D4"/>
    <w:rsid w:val="001071B2"/>
    <w:rsid w:val="00144F0A"/>
    <w:rsid w:val="00150E76"/>
    <w:rsid w:val="001514E3"/>
    <w:rsid w:val="001572A3"/>
    <w:rsid w:val="0016191A"/>
    <w:rsid w:val="00164E53"/>
    <w:rsid w:val="00185BB0"/>
    <w:rsid w:val="00186831"/>
    <w:rsid w:val="0019021B"/>
    <w:rsid w:val="0019202B"/>
    <w:rsid w:val="001A0F98"/>
    <w:rsid w:val="001A6C9F"/>
    <w:rsid w:val="001A7E06"/>
    <w:rsid w:val="001E3546"/>
    <w:rsid w:val="001F6F3D"/>
    <w:rsid w:val="00205528"/>
    <w:rsid w:val="00230720"/>
    <w:rsid w:val="00236999"/>
    <w:rsid w:val="00246211"/>
    <w:rsid w:val="00256856"/>
    <w:rsid w:val="00260D29"/>
    <w:rsid w:val="00275124"/>
    <w:rsid w:val="00287805"/>
    <w:rsid w:val="00295A9E"/>
    <w:rsid w:val="002961EA"/>
    <w:rsid w:val="002A0444"/>
    <w:rsid w:val="002A0FBA"/>
    <w:rsid w:val="002D4818"/>
    <w:rsid w:val="002E0EF0"/>
    <w:rsid w:val="002F08FA"/>
    <w:rsid w:val="002F48F4"/>
    <w:rsid w:val="00302932"/>
    <w:rsid w:val="00322AAB"/>
    <w:rsid w:val="00325A4C"/>
    <w:rsid w:val="003355D1"/>
    <w:rsid w:val="00356AED"/>
    <w:rsid w:val="003638B2"/>
    <w:rsid w:val="00376746"/>
    <w:rsid w:val="0038234A"/>
    <w:rsid w:val="0038321F"/>
    <w:rsid w:val="00385BA0"/>
    <w:rsid w:val="003943FF"/>
    <w:rsid w:val="003A4E3E"/>
    <w:rsid w:val="003B1157"/>
    <w:rsid w:val="003D1203"/>
    <w:rsid w:val="003D2168"/>
    <w:rsid w:val="00415D48"/>
    <w:rsid w:val="00425195"/>
    <w:rsid w:val="00443F43"/>
    <w:rsid w:val="004638F0"/>
    <w:rsid w:val="004877A2"/>
    <w:rsid w:val="00491A5A"/>
    <w:rsid w:val="004A3F31"/>
    <w:rsid w:val="004B2737"/>
    <w:rsid w:val="004B75DF"/>
    <w:rsid w:val="004C0374"/>
    <w:rsid w:val="004C2B97"/>
    <w:rsid w:val="004C6A7D"/>
    <w:rsid w:val="004D5F1D"/>
    <w:rsid w:val="004F0EC5"/>
    <w:rsid w:val="005050AD"/>
    <w:rsid w:val="00512114"/>
    <w:rsid w:val="005369C0"/>
    <w:rsid w:val="00561E0C"/>
    <w:rsid w:val="00565104"/>
    <w:rsid w:val="00565415"/>
    <w:rsid w:val="0057318C"/>
    <w:rsid w:val="00576A2D"/>
    <w:rsid w:val="00583890"/>
    <w:rsid w:val="005A0EF0"/>
    <w:rsid w:val="005A2B27"/>
    <w:rsid w:val="005E1325"/>
    <w:rsid w:val="005F5A8A"/>
    <w:rsid w:val="0061166C"/>
    <w:rsid w:val="00651E9C"/>
    <w:rsid w:val="00667374"/>
    <w:rsid w:val="006721C4"/>
    <w:rsid w:val="00690B4D"/>
    <w:rsid w:val="006931E6"/>
    <w:rsid w:val="006A0E14"/>
    <w:rsid w:val="006A6399"/>
    <w:rsid w:val="006A6F5C"/>
    <w:rsid w:val="006D4725"/>
    <w:rsid w:val="006D5663"/>
    <w:rsid w:val="006E21A4"/>
    <w:rsid w:val="00715709"/>
    <w:rsid w:val="0073660C"/>
    <w:rsid w:val="0074421F"/>
    <w:rsid w:val="00752883"/>
    <w:rsid w:val="007729A8"/>
    <w:rsid w:val="007742F0"/>
    <w:rsid w:val="007836F3"/>
    <w:rsid w:val="007928D3"/>
    <w:rsid w:val="007C2DFD"/>
    <w:rsid w:val="007C317A"/>
    <w:rsid w:val="007D6079"/>
    <w:rsid w:val="007E3EAD"/>
    <w:rsid w:val="007E4DC7"/>
    <w:rsid w:val="00801B20"/>
    <w:rsid w:val="00836B7B"/>
    <w:rsid w:val="00845A89"/>
    <w:rsid w:val="0086050D"/>
    <w:rsid w:val="00861C71"/>
    <w:rsid w:val="00874C25"/>
    <w:rsid w:val="00881E98"/>
    <w:rsid w:val="0088309F"/>
    <w:rsid w:val="00885FAC"/>
    <w:rsid w:val="00887595"/>
    <w:rsid w:val="008A400A"/>
    <w:rsid w:val="008A7FBB"/>
    <w:rsid w:val="008B7F4F"/>
    <w:rsid w:val="008C4BF6"/>
    <w:rsid w:val="008C708B"/>
    <w:rsid w:val="008D0EB9"/>
    <w:rsid w:val="008D14A8"/>
    <w:rsid w:val="008F4010"/>
    <w:rsid w:val="008F4411"/>
    <w:rsid w:val="00923DF2"/>
    <w:rsid w:val="009278FA"/>
    <w:rsid w:val="00953E6A"/>
    <w:rsid w:val="009553C0"/>
    <w:rsid w:val="00955A9B"/>
    <w:rsid w:val="00955F8C"/>
    <w:rsid w:val="00963C05"/>
    <w:rsid w:val="009643D4"/>
    <w:rsid w:val="0097171F"/>
    <w:rsid w:val="009779D9"/>
    <w:rsid w:val="009969CD"/>
    <w:rsid w:val="00997A42"/>
    <w:rsid w:val="009A117E"/>
    <w:rsid w:val="009C039C"/>
    <w:rsid w:val="009C0EB2"/>
    <w:rsid w:val="009C19D2"/>
    <w:rsid w:val="009D712D"/>
    <w:rsid w:val="009E0E05"/>
    <w:rsid w:val="009E628B"/>
    <w:rsid w:val="00A058BA"/>
    <w:rsid w:val="00A07CD5"/>
    <w:rsid w:val="00A21A87"/>
    <w:rsid w:val="00A40701"/>
    <w:rsid w:val="00A40A04"/>
    <w:rsid w:val="00A42249"/>
    <w:rsid w:val="00A7435B"/>
    <w:rsid w:val="00A85EDA"/>
    <w:rsid w:val="00A90476"/>
    <w:rsid w:val="00A921D1"/>
    <w:rsid w:val="00AB0A1D"/>
    <w:rsid w:val="00AC0719"/>
    <w:rsid w:val="00AD1D9C"/>
    <w:rsid w:val="00AD73BC"/>
    <w:rsid w:val="00AE73EE"/>
    <w:rsid w:val="00B018E8"/>
    <w:rsid w:val="00B0582E"/>
    <w:rsid w:val="00B0707A"/>
    <w:rsid w:val="00B11033"/>
    <w:rsid w:val="00B12E59"/>
    <w:rsid w:val="00B17C14"/>
    <w:rsid w:val="00B31647"/>
    <w:rsid w:val="00B45EE5"/>
    <w:rsid w:val="00B71137"/>
    <w:rsid w:val="00B75475"/>
    <w:rsid w:val="00B93008"/>
    <w:rsid w:val="00B94AD9"/>
    <w:rsid w:val="00B951F8"/>
    <w:rsid w:val="00BA175B"/>
    <w:rsid w:val="00BA4759"/>
    <w:rsid w:val="00BB74AB"/>
    <w:rsid w:val="00BC547F"/>
    <w:rsid w:val="00BE727D"/>
    <w:rsid w:val="00BF6BAB"/>
    <w:rsid w:val="00C069C8"/>
    <w:rsid w:val="00C163BE"/>
    <w:rsid w:val="00C330E0"/>
    <w:rsid w:val="00C37551"/>
    <w:rsid w:val="00C438A4"/>
    <w:rsid w:val="00C442CE"/>
    <w:rsid w:val="00C449AA"/>
    <w:rsid w:val="00C63A4D"/>
    <w:rsid w:val="00C77143"/>
    <w:rsid w:val="00C80206"/>
    <w:rsid w:val="00C804AF"/>
    <w:rsid w:val="00C824D9"/>
    <w:rsid w:val="00C86480"/>
    <w:rsid w:val="00C9491F"/>
    <w:rsid w:val="00CB5781"/>
    <w:rsid w:val="00CC14B6"/>
    <w:rsid w:val="00CC20A3"/>
    <w:rsid w:val="00CD640F"/>
    <w:rsid w:val="00CE5975"/>
    <w:rsid w:val="00D14DED"/>
    <w:rsid w:val="00D2592E"/>
    <w:rsid w:val="00D26536"/>
    <w:rsid w:val="00D43244"/>
    <w:rsid w:val="00D57720"/>
    <w:rsid w:val="00D61B87"/>
    <w:rsid w:val="00D634AF"/>
    <w:rsid w:val="00D66516"/>
    <w:rsid w:val="00D7399E"/>
    <w:rsid w:val="00D76588"/>
    <w:rsid w:val="00D76D2D"/>
    <w:rsid w:val="00D772D6"/>
    <w:rsid w:val="00D84EE8"/>
    <w:rsid w:val="00D961DD"/>
    <w:rsid w:val="00DA04DE"/>
    <w:rsid w:val="00DB0E72"/>
    <w:rsid w:val="00DB2702"/>
    <w:rsid w:val="00DB4761"/>
    <w:rsid w:val="00DC7533"/>
    <w:rsid w:val="00DD089C"/>
    <w:rsid w:val="00DD6DC1"/>
    <w:rsid w:val="00E20AD2"/>
    <w:rsid w:val="00E27564"/>
    <w:rsid w:val="00E461E8"/>
    <w:rsid w:val="00E51127"/>
    <w:rsid w:val="00E552FF"/>
    <w:rsid w:val="00E75002"/>
    <w:rsid w:val="00E82BB6"/>
    <w:rsid w:val="00E85CE1"/>
    <w:rsid w:val="00E9354A"/>
    <w:rsid w:val="00E95497"/>
    <w:rsid w:val="00E95B89"/>
    <w:rsid w:val="00EA11C4"/>
    <w:rsid w:val="00EB4B13"/>
    <w:rsid w:val="00EC22A3"/>
    <w:rsid w:val="00EC428D"/>
    <w:rsid w:val="00EE0F5E"/>
    <w:rsid w:val="00F00B31"/>
    <w:rsid w:val="00F14136"/>
    <w:rsid w:val="00F44A93"/>
    <w:rsid w:val="00F746CF"/>
    <w:rsid w:val="00F83BE8"/>
    <w:rsid w:val="00F9594D"/>
    <w:rsid w:val="00FA50E1"/>
    <w:rsid w:val="00FA6E6D"/>
    <w:rsid w:val="00FB7F98"/>
    <w:rsid w:val="00FC18CE"/>
    <w:rsid w:val="00FF17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0C97A"/>
  <w15:docId w15:val="{849D0395-5DEA-4A28-ABB7-6F105FEB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D2A83"/>
  </w:style>
  <w:style w:type="paragraph" w:styleId="Titolo1">
    <w:name w:val="heading 1"/>
    <w:basedOn w:val="Normale"/>
    <w:next w:val="Normale"/>
    <w:link w:val="Titolo1Carattere"/>
    <w:uiPriority w:val="9"/>
    <w:qFormat/>
    <w:rsid w:val="00955A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16191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ja-JP"/>
    </w:rPr>
  </w:style>
  <w:style w:type="paragraph" w:styleId="Titolo4">
    <w:name w:val="heading 4"/>
    <w:basedOn w:val="Normale"/>
    <w:next w:val="Normale"/>
    <w:link w:val="Titolo4Carattere"/>
    <w:uiPriority w:val="9"/>
    <w:semiHidden/>
    <w:unhideWhenUsed/>
    <w:qFormat/>
    <w:rsid w:val="00F746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A175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A175B"/>
  </w:style>
  <w:style w:type="paragraph" w:styleId="Pidipagina">
    <w:name w:val="footer"/>
    <w:basedOn w:val="Normale"/>
    <w:link w:val="PidipaginaCarattere"/>
    <w:uiPriority w:val="99"/>
    <w:unhideWhenUsed/>
    <w:rsid w:val="00BA175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A175B"/>
  </w:style>
  <w:style w:type="character" w:styleId="Rimandocommento">
    <w:name w:val="annotation reference"/>
    <w:basedOn w:val="Carpredefinitoparagrafo"/>
    <w:uiPriority w:val="99"/>
    <w:semiHidden/>
    <w:unhideWhenUsed/>
    <w:rsid w:val="00C77143"/>
    <w:rPr>
      <w:sz w:val="16"/>
      <w:szCs w:val="16"/>
    </w:rPr>
  </w:style>
  <w:style w:type="paragraph" w:styleId="Testocommento">
    <w:name w:val="annotation text"/>
    <w:basedOn w:val="Normale"/>
    <w:link w:val="TestocommentoCarattere"/>
    <w:uiPriority w:val="99"/>
    <w:semiHidden/>
    <w:unhideWhenUsed/>
    <w:rsid w:val="00C7714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77143"/>
    <w:rPr>
      <w:sz w:val="20"/>
      <w:szCs w:val="20"/>
    </w:rPr>
  </w:style>
  <w:style w:type="paragraph" w:styleId="Soggettocommento">
    <w:name w:val="annotation subject"/>
    <w:basedOn w:val="Testocommento"/>
    <w:next w:val="Testocommento"/>
    <w:link w:val="SoggettocommentoCarattere"/>
    <w:uiPriority w:val="99"/>
    <w:semiHidden/>
    <w:unhideWhenUsed/>
    <w:rsid w:val="00C77143"/>
    <w:rPr>
      <w:b/>
      <w:bCs/>
    </w:rPr>
  </w:style>
  <w:style w:type="character" w:customStyle="1" w:styleId="SoggettocommentoCarattere">
    <w:name w:val="Soggetto commento Carattere"/>
    <w:basedOn w:val="TestocommentoCarattere"/>
    <w:link w:val="Soggettocommento"/>
    <w:uiPriority w:val="99"/>
    <w:semiHidden/>
    <w:rsid w:val="00C77143"/>
    <w:rPr>
      <w:b/>
      <w:bCs/>
      <w:sz w:val="20"/>
      <w:szCs w:val="20"/>
    </w:rPr>
  </w:style>
  <w:style w:type="paragraph" w:styleId="Testofumetto">
    <w:name w:val="Balloon Text"/>
    <w:basedOn w:val="Normale"/>
    <w:link w:val="TestofumettoCarattere"/>
    <w:uiPriority w:val="99"/>
    <w:semiHidden/>
    <w:unhideWhenUsed/>
    <w:rsid w:val="00CD640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640F"/>
    <w:rPr>
      <w:rFonts w:ascii="Tahoma" w:hAnsi="Tahoma" w:cs="Tahoma"/>
      <w:sz w:val="16"/>
      <w:szCs w:val="16"/>
    </w:rPr>
  </w:style>
  <w:style w:type="table" w:styleId="Grigliatabella">
    <w:name w:val="Table Grid"/>
    <w:basedOn w:val="Tabellanormale"/>
    <w:uiPriority w:val="39"/>
    <w:rsid w:val="003A4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semiHidden/>
    <w:rsid w:val="0016191A"/>
    <w:rPr>
      <w:rFonts w:asciiTheme="majorHAnsi" w:eastAsiaTheme="majorEastAsia" w:hAnsiTheme="majorHAnsi" w:cstheme="majorBidi"/>
      <w:color w:val="2F5496" w:themeColor="accent1" w:themeShade="BF"/>
      <w:sz w:val="26"/>
      <w:szCs w:val="26"/>
      <w:lang w:eastAsia="ja-JP"/>
    </w:rPr>
  </w:style>
  <w:style w:type="paragraph" w:customStyle="1" w:styleId="Pa1">
    <w:name w:val="Pa1"/>
    <w:basedOn w:val="Normale"/>
    <w:next w:val="Normale"/>
    <w:uiPriority w:val="99"/>
    <w:rsid w:val="0016191A"/>
    <w:pPr>
      <w:widowControl w:val="0"/>
      <w:autoSpaceDE w:val="0"/>
      <w:autoSpaceDN w:val="0"/>
      <w:adjustRightInd w:val="0"/>
      <w:spacing w:after="0" w:line="241" w:lineRule="atLeast"/>
    </w:pPr>
    <w:rPr>
      <w:rFonts w:ascii="Arial Narrow" w:eastAsiaTheme="minorEastAsia" w:hAnsi="Arial Narrow"/>
      <w:sz w:val="24"/>
      <w:szCs w:val="24"/>
      <w:lang w:eastAsia="it-IT"/>
    </w:rPr>
  </w:style>
  <w:style w:type="paragraph" w:styleId="Testonotaapidipagina">
    <w:name w:val="footnote text"/>
    <w:basedOn w:val="Normale"/>
    <w:link w:val="TestonotaapidipaginaCarattere"/>
    <w:uiPriority w:val="99"/>
    <w:semiHidden/>
    <w:unhideWhenUsed/>
    <w:rsid w:val="00322AA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22AAB"/>
    <w:rPr>
      <w:sz w:val="20"/>
      <w:szCs w:val="20"/>
    </w:rPr>
  </w:style>
  <w:style w:type="paragraph" w:styleId="Paragrafoelenco">
    <w:name w:val="List Paragraph"/>
    <w:basedOn w:val="Normale"/>
    <w:uiPriority w:val="34"/>
    <w:qFormat/>
    <w:rsid w:val="00322AAB"/>
    <w:pPr>
      <w:spacing w:line="256" w:lineRule="auto"/>
      <w:ind w:left="720"/>
      <w:contextualSpacing/>
    </w:pPr>
  </w:style>
  <w:style w:type="character" w:styleId="Rimandonotaapidipagina">
    <w:name w:val="footnote reference"/>
    <w:basedOn w:val="Carpredefinitoparagrafo"/>
    <w:uiPriority w:val="99"/>
    <w:semiHidden/>
    <w:unhideWhenUsed/>
    <w:rsid w:val="00322AAB"/>
    <w:rPr>
      <w:vertAlign w:val="superscript"/>
    </w:rPr>
  </w:style>
  <w:style w:type="table" w:customStyle="1" w:styleId="TableNormal">
    <w:name w:val="Table Normal"/>
    <w:rsid w:val="00B1103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Titolo4Carattere">
    <w:name w:val="Titolo 4 Carattere"/>
    <w:basedOn w:val="Carpredefinitoparagrafo"/>
    <w:link w:val="Titolo4"/>
    <w:uiPriority w:val="9"/>
    <w:semiHidden/>
    <w:rsid w:val="00F746CF"/>
    <w:rPr>
      <w:rFonts w:asciiTheme="majorHAnsi" w:eastAsiaTheme="majorEastAsia" w:hAnsiTheme="majorHAnsi" w:cstheme="majorBidi"/>
      <w:i/>
      <w:iCs/>
      <w:color w:val="2F5496" w:themeColor="accent1" w:themeShade="BF"/>
    </w:rPr>
  </w:style>
  <w:style w:type="character" w:customStyle="1" w:styleId="Titolo1Carattere">
    <w:name w:val="Titolo 1 Carattere"/>
    <w:basedOn w:val="Carpredefinitoparagrafo"/>
    <w:link w:val="Titolo1"/>
    <w:uiPriority w:val="9"/>
    <w:rsid w:val="00955A9B"/>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955A9B"/>
    <w:rPr>
      <w:color w:val="0563C1" w:themeColor="hyperlink"/>
      <w:u w:val="single"/>
    </w:rPr>
  </w:style>
  <w:style w:type="character" w:customStyle="1" w:styleId="Menzionenonrisolta1">
    <w:name w:val="Menzione non risolta1"/>
    <w:basedOn w:val="Carpredefinitoparagrafo"/>
    <w:uiPriority w:val="99"/>
    <w:semiHidden/>
    <w:unhideWhenUsed/>
    <w:rsid w:val="00955A9B"/>
    <w:rPr>
      <w:color w:val="605E5C"/>
      <w:shd w:val="clear" w:color="auto" w:fill="E1DFDD"/>
    </w:rPr>
  </w:style>
  <w:style w:type="paragraph" w:styleId="Corpotesto">
    <w:name w:val="Body Text"/>
    <w:basedOn w:val="Normale"/>
    <w:link w:val="CorpotestoCarattere"/>
    <w:rsid w:val="00E27564"/>
    <w:pPr>
      <w:spacing w:after="140" w:line="276" w:lineRule="auto"/>
    </w:pPr>
    <w:rPr>
      <w:rFonts w:ascii="Times New Roman" w:eastAsia="Arial Unicode MS" w:hAnsi="Times New Roman" w:cs="Arial Unicode MS"/>
      <w:color w:val="000000"/>
      <w:sz w:val="24"/>
      <w:szCs w:val="24"/>
      <w:u w:color="000000"/>
      <w:lang w:eastAsia="it-IT"/>
    </w:rPr>
  </w:style>
  <w:style w:type="character" w:customStyle="1" w:styleId="CorpotestoCarattere">
    <w:name w:val="Corpo testo Carattere"/>
    <w:basedOn w:val="Carpredefinitoparagrafo"/>
    <w:link w:val="Corpotesto"/>
    <w:rsid w:val="00E27564"/>
    <w:rPr>
      <w:rFonts w:ascii="Times New Roman" w:eastAsia="Arial Unicode MS" w:hAnsi="Times New Roman" w:cs="Arial Unicode MS"/>
      <w:color w:val="000000"/>
      <w:sz w:val="24"/>
      <w:szCs w:val="24"/>
      <w:u w:color="000000"/>
      <w:lang w:eastAsia="it-IT"/>
    </w:rPr>
  </w:style>
  <w:style w:type="table" w:styleId="Tabellagriglia1chiara-colore5">
    <w:name w:val="Grid Table 1 Light Accent 5"/>
    <w:basedOn w:val="Tabellanormale"/>
    <w:uiPriority w:val="46"/>
    <w:rsid w:val="00CC20A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CC20A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lasemplice-2">
    <w:name w:val="Plain Table 2"/>
    <w:basedOn w:val="Tabellanormale"/>
    <w:uiPriority w:val="42"/>
    <w:rsid w:val="00CC20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5A2B2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e">
    <w:name w:val="Revision"/>
    <w:hidden/>
    <w:uiPriority w:val="99"/>
    <w:semiHidden/>
    <w:rsid w:val="00F959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67825">
      <w:bodyDiv w:val="1"/>
      <w:marLeft w:val="0"/>
      <w:marRight w:val="0"/>
      <w:marTop w:val="0"/>
      <w:marBottom w:val="0"/>
      <w:divBdr>
        <w:top w:val="none" w:sz="0" w:space="0" w:color="auto"/>
        <w:left w:val="none" w:sz="0" w:space="0" w:color="auto"/>
        <w:bottom w:val="none" w:sz="0" w:space="0" w:color="auto"/>
        <w:right w:val="none" w:sz="0" w:space="0" w:color="auto"/>
      </w:divBdr>
    </w:div>
    <w:div w:id="750277966">
      <w:bodyDiv w:val="1"/>
      <w:marLeft w:val="0"/>
      <w:marRight w:val="0"/>
      <w:marTop w:val="0"/>
      <w:marBottom w:val="0"/>
      <w:divBdr>
        <w:top w:val="none" w:sz="0" w:space="0" w:color="auto"/>
        <w:left w:val="none" w:sz="0" w:space="0" w:color="auto"/>
        <w:bottom w:val="none" w:sz="0" w:space="0" w:color="auto"/>
        <w:right w:val="none" w:sz="0" w:space="0" w:color="auto"/>
      </w:divBdr>
    </w:div>
    <w:div w:id="1491822739">
      <w:bodyDiv w:val="1"/>
      <w:marLeft w:val="0"/>
      <w:marRight w:val="0"/>
      <w:marTop w:val="0"/>
      <w:marBottom w:val="0"/>
      <w:divBdr>
        <w:top w:val="none" w:sz="0" w:space="0" w:color="auto"/>
        <w:left w:val="none" w:sz="0" w:space="0" w:color="auto"/>
        <w:bottom w:val="none" w:sz="0" w:space="0" w:color="auto"/>
        <w:right w:val="none" w:sz="0" w:space="0" w:color="auto"/>
      </w:divBdr>
    </w:div>
    <w:div w:id="1612662016">
      <w:bodyDiv w:val="1"/>
      <w:marLeft w:val="0"/>
      <w:marRight w:val="0"/>
      <w:marTop w:val="0"/>
      <w:marBottom w:val="0"/>
      <w:divBdr>
        <w:top w:val="none" w:sz="0" w:space="0" w:color="auto"/>
        <w:left w:val="none" w:sz="0" w:space="0" w:color="auto"/>
        <w:bottom w:val="none" w:sz="0" w:space="0" w:color="auto"/>
        <w:right w:val="none" w:sz="0" w:space="0" w:color="auto"/>
      </w:divBdr>
    </w:div>
    <w:div w:id="20829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A58A1-A255-470E-BDBA-29AF66FE7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13802</Words>
  <Characters>78673</Characters>
  <Application>Microsoft Office Word</Application>
  <DocSecurity>0</DocSecurity>
  <Lines>655</Lines>
  <Paragraphs>184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 Pompella</dc:creator>
  <cp:lastModifiedBy>Utente chemio</cp:lastModifiedBy>
  <cp:revision>2</cp:revision>
  <cp:lastPrinted>2022-06-13T14:25:00Z</cp:lastPrinted>
  <dcterms:created xsi:type="dcterms:W3CDTF">2025-06-27T07:17:00Z</dcterms:created>
  <dcterms:modified xsi:type="dcterms:W3CDTF">2025-06-27T07:17:00Z</dcterms:modified>
</cp:coreProperties>
</file>