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3EA56"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26B19F50"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07399124"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4681B3B9"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78D88909"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260E0D64"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04247732"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05FD5FAE"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644C579F"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5FCA5E8E"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719A47B9" w14:textId="77777777" w:rsidR="00231B0C" w:rsidRDefault="008D7880">
      <w:pPr>
        <w:pBdr>
          <w:top w:val="nil"/>
          <w:left w:val="nil"/>
          <w:bottom w:val="nil"/>
          <w:right w:val="nil"/>
          <w:between w:val="nil"/>
        </w:pBdr>
        <w:tabs>
          <w:tab w:val="left" w:pos="5670"/>
        </w:tabs>
        <w:spacing w:line="360" w:lineRule="auto"/>
        <w:jc w:val="center"/>
        <w:rPr>
          <w:color w:val="000000"/>
          <w:sz w:val="36"/>
          <w:szCs w:val="36"/>
        </w:rPr>
      </w:pPr>
      <w:r>
        <w:rPr>
          <w:b/>
          <w:color w:val="000000"/>
          <w:sz w:val="36"/>
          <w:szCs w:val="36"/>
        </w:rPr>
        <w:t>Il Percorso Diagnostico Terapeutico Assistenziale (PDTA)</w:t>
      </w:r>
    </w:p>
    <w:p w14:paraId="46BE71C1" w14:textId="77777777" w:rsidR="00231B0C" w:rsidRDefault="008D7880">
      <w:pPr>
        <w:pBdr>
          <w:top w:val="nil"/>
          <w:left w:val="nil"/>
          <w:bottom w:val="nil"/>
          <w:right w:val="nil"/>
          <w:between w:val="nil"/>
        </w:pBdr>
        <w:tabs>
          <w:tab w:val="left" w:pos="5670"/>
        </w:tabs>
        <w:spacing w:line="360" w:lineRule="auto"/>
        <w:jc w:val="center"/>
        <w:rPr>
          <w:color w:val="000000"/>
          <w:sz w:val="36"/>
          <w:szCs w:val="36"/>
        </w:rPr>
      </w:pPr>
      <w:r>
        <w:rPr>
          <w:b/>
          <w:color w:val="000000"/>
          <w:sz w:val="36"/>
          <w:szCs w:val="36"/>
        </w:rPr>
        <w:t>del Tumore del Rene</w:t>
      </w:r>
    </w:p>
    <w:p w14:paraId="131EC22C" w14:textId="77777777" w:rsidR="00231B0C" w:rsidRDefault="00231B0C">
      <w:pPr>
        <w:pBdr>
          <w:top w:val="nil"/>
          <w:left w:val="nil"/>
          <w:bottom w:val="nil"/>
          <w:right w:val="nil"/>
          <w:between w:val="nil"/>
        </w:pBdr>
        <w:tabs>
          <w:tab w:val="left" w:pos="5670"/>
        </w:tabs>
        <w:spacing w:line="360" w:lineRule="auto"/>
        <w:jc w:val="center"/>
        <w:rPr>
          <w:color w:val="000000"/>
          <w:sz w:val="36"/>
          <w:szCs w:val="36"/>
        </w:rPr>
      </w:pPr>
    </w:p>
    <w:p w14:paraId="1E0BC949" w14:textId="77777777" w:rsidR="00231B0C" w:rsidRDefault="008D7880">
      <w:pPr>
        <w:pBdr>
          <w:top w:val="nil"/>
          <w:left w:val="nil"/>
          <w:bottom w:val="nil"/>
          <w:right w:val="nil"/>
          <w:between w:val="nil"/>
        </w:pBdr>
        <w:tabs>
          <w:tab w:val="left" w:pos="5670"/>
        </w:tabs>
        <w:spacing w:line="360" w:lineRule="auto"/>
        <w:jc w:val="center"/>
        <w:rPr>
          <w:color w:val="000000"/>
          <w:sz w:val="36"/>
          <w:szCs w:val="36"/>
        </w:rPr>
      </w:pPr>
      <w:r>
        <w:rPr>
          <w:b/>
          <w:color w:val="000000"/>
          <w:sz w:val="36"/>
          <w:szCs w:val="36"/>
        </w:rPr>
        <w:t>Edizione 2025</w:t>
      </w:r>
    </w:p>
    <w:p w14:paraId="4535AAF2"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36EBCCF2"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0F224140" w14:textId="77777777" w:rsidR="00231B0C" w:rsidRDefault="00231B0C">
      <w:pPr>
        <w:pBdr>
          <w:top w:val="nil"/>
          <w:left w:val="nil"/>
          <w:bottom w:val="nil"/>
          <w:right w:val="nil"/>
          <w:between w:val="nil"/>
        </w:pBdr>
        <w:tabs>
          <w:tab w:val="left" w:pos="5670"/>
        </w:tabs>
        <w:spacing w:line="360" w:lineRule="auto"/>
        <w:jc w:val="both"/>
        <w:rPr>
          <w:color w:val="000000"/>
          <w:sz w:val="24"/>
          <w:szCs w:val="24"/>
        </w:rPr>
      </w:pPr>
    </w:p>
    <w:p w14:paraId="302DE5DB" w14:textId="77777777" w:rsidR="00231B0C" w:rsidRDefault="008D7880">
      <w:pPr>
        <w:pBdr>
          <w:top w:val="nil"/>
          <w:left w:val="nil"/>
          <w:bottom w:val="nil"/>
          <w:right w:val="nil"/>
          <w:between w:val="nil"/>
        </w:pBdr>
        <w:spacing w:line="360" w:lineRule="auto"/>
        <w:ind w:right="360"/>
        <w:jc w:val="center"/>
        <w:rPr>
          <w:color w:val="000000"/>
          <w:sz w:val="24"/>
          <w:szCs w:val="24"/>
        </w:rPr>
      </w:pPr>
      <w:r>
        <w:rPr>
          <w:b/>
          <w:noProof/>
          <w:color w:val="000000"/>
          <w:sz w:val="24"/>
          <w:szCs w:val="24"/>
        </w:rPr>
        <w:drawing>
          <wp:inline distT="0" distB="0" distL="114300" distR="114300" wp14:anchorId="34ACA17F" wp14:editId="5DBC4ECA">
            <wp:extent cx="4635500" cy="322707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635500" cy="3227070"/>
                    </a:xfrm>
                    <a:prstGeom prst="rect">
                      <a:avLst/>
                    </a:prstGeom>
                    <a:ln/>
                  </pic:spPr>
                </pic:pic>
              </a:graphicData>
            </a:graphic>
          </wp:inline>
        </w:drawing>
      </w:r>
    </w:p>
    <w:p w14:paraId="6BD7BF79" w14:textId="77777777" w:rsidR="00231B0C" w:rsidRDefault="00231B0C">
      <w:pPr>
        <w:pBdr>
          <w:top w:val="nil"/>
          <w:left w:val="nil"/>
          <w:bottom w:val="nil"/>
          <w:right w:val="nil"/>
          <w:between w:val="nil"/>
        </w:pBdr>
        <w:spacing w:line="360" w:lineRule="auto"/>
        <w:ind w:right="360"/>
        <w:jc w:val="both"/>
        <w:rPr>
          <w:color w:val="000000"/>
          <w:sz w:val="24"/>
          <w:szCs w:val="24"/>
        </w:rPr>
      </w:pPr>
    </w:p>
    <w:p w14:paraId="4ED978A5" w14:textId="77777777" w:rsidR="00231B0C" w:rsidRDefault="00231B0C">
      <w:pPr>
        <w:pBdr>
          <w:top w:val="nil"/>
          <w:left w:val="nil"/>
          <w:bottom w:val="nil"/>
          <w:right w:val="nil"/>
          <w:between w:val="nil"/>
        </w:pBdr>
        <w:spacing w:line="360" w:lineRule="auto"/>
        <w:ind w:right="360"/>
        <w:jc w:val="both"/>
        <w:rPr>
          <w:color w:val="000000"/>
          <w:sz w:val="24"/>
          <w:szCs w:val="24"/>
        </w:rPr>
      </w:pPr>
    </w:p>
    <w:p w14:paraId="07F63D2B" w14:textId="77777777" w:rsidR="00231B0C" w:rsidRDefault="00231B0C">
      <w:pPr>
        <w:pBdr>
          <w:top w:val="nil"/>
          <w:left w:val="nil"/>
          <w:bottom w:val="nil"/>
          <w:right w:val="nil"/>
          <w:between w:val="nil"/>
        </w:pBdr>
        <w:spacing w:line="360" w:lineRule="auto"/>
        <w:ind w:right="360"/>
        <w:jc w:val="both"/>
        <w:rPr>
          <w:color w:val="000000"/>
          <w:sz w:val="24"/>
          <w:szCs w:val="24"/>
        </w:rPr>
      </w:pPr>
    </w:p>
    <w:p w14:paraId="0C954B54" w14:textId="77777777" w:rsidR="00231B0C" w:rsidRDefault="008D7880">
      <w:pPr>
        <w:pBdr>
          <w:top w:val="nil"/>
          <w:left w:val="nil"/>
          <w:bottom w:val="nil"/>
          <w:right w:val="nil"/>
          <w:between w:val="nil"/>
        </w:pBdr>
        <w:spacing w:line="360" w:lineRule="auto"/>
        <w:ind w:right="360"/>
        <w:jc w:val="both"/>
        <w:rPr>
          <w:color w:val="000000"/>
          <w:sz w:val="24"/>
          <w:szCs w:val="24"/>
        </w:rPr>
      </w:pPr>
      <w:bookmarkStart w:id="0" w:name="_czrsgnmdkel9" w:colFirst="0" w:colLast="0"/>
      <w:bookmarkEnd w:id="0"/>
      <w:r>
        <w:rPr>
          <w:color w:val="000000"/>
          <w:sz w:val="24"/>
          <w:szCs w:val="24"/>
        </w:rPr>
        <w:lastRenderedPageBreak/>
        <w:t xml:space="preserve">In tabella sono riportate le figure professionali ed Unità Operative Complesse (UOC) o Semplici (UO) deputate all’accoglienza, Presa in Carico ed Assistenza nell’ambito del </w:t>
      </w:r>
      <w:r>
        <w:rPr>
          <w:b/>
          <w:color w:val="000000"/>
          <w:sz w:val="24"/>
          <w:szCs w:val="24"/>
        </w:rPr>
        <w:t>GOM</w:t>
      </w:r>
      <w:r>
        <w:rPr>
          <w:color w:val="000000"/>
          <w:sz w:val="24"/>
          <w:szCs w:val="24"/>
        </w:rPr>
        <w:t xml:space="preserve"> rene.</w:t>
      </w:r>
    </w:p>
    <w:tbl>
      <w:tblPr>
        <w:tblStyle w:val="a"/>
        <w:tblW w:w="962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300"/>
        <w:gridCol w:w="3506"/>
        <w:gridCol w:w="3816"/>
      </w:tblGrid>
      <w:tr w:rsidR="00231B0C" w14:paraId="6AD932F8" w14:textId="77777777">
        <w:trPr>
          <w:cantSplit/>
          <w:trHeight w:val="982"/>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14:paraId="56778B8A"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ACCOGLIENZA</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14:paraId="4331058C"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Case Manager</w:t>
            </w:r>
          </w:p>
          <w:p w14:paraId="4AAEB296"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Medico                                               </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14:paraId="2B05FF75"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Identificato nell’Ambito del GOM</w:t>
            </w:r>
          </w:p>
          <w:p w14:paraId="2025F29D"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Medico specialista di una delle unità afferenti al GOM</w:t>
            </w:r>
          </w:p>
        </w:tc>
      </w:tr>
      <w:tr w:rsidR="00231B0C" w14:paraId="40B49AE7" w14:textId="77777777">
        <w:trPr>
          <w:cantSplit/>
          <w:trHeight w:val="982"/>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14:paraId="29854E4E" w14:textId="77777777" w:rsidR="00231B0C" w:rsidRDefault="00231B0C">
            <w:pPr>
              <w:widowControl w:val="0"/>
              <w:pBdr>
                <w:top w:val="nil"/>
                <w:left w:val="nil"/>
                <w:bottom w:val="nil"/>
                <w:right w:val="nil"/>
                <w:between w:val="nil"/>
              </w:pBdr>
              <w:spacing w:line="276" w:lineRule="auto"/>
              <w:rPr>
                <w:color w:val="000000"/>
                <w:sz w:val="22"/>
                <w:szCs w:val="22"/>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14:paraId="7A19C3B3"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Medico di Medicina Generale</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14:paraId="4975A12A"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Segnalazione dell’assistito e partecipazione al GOM</w:t>
            </w:r>
          </w:p>
        </w:tc>
      </w:tr>
      <w:tr w:rsidR="00231B0C" w14:paraId="398BB506" w14:textId="77777777">
        <w:trPr>
          <w:cantSplit/>
          <w:trHeight w:val="333"/>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14:paraId="6BA7772B" w14:textId="77777777" w:rsidR="00231B0C" w:rsidRDefault="00231B0C">
            <w:pPr>
              <w:widowControl w:val="0"/>
              <w:pBdr>
                <w:top w:val="nil"/>
                <w:left w:val="nil"/>
                <w:bottom w:val="nil"/>
                <w:right w:val="nil"/>
                <w:between w:val="nil"/>
              </w:pBdr>
              <w:spacing w:line="276" w:lineRule="auto"/>
              <w:rPr>
                <w:color w:val="000000"/>
                <w:sz w:val="22"/>
                <w:szCs w:val="22"/>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14:paraId="12939201" w14:textId="77777777" w:rsidR="00231B0C" w:rsidRDefault="00231B0C">
            <w:pPr>
              <w:keepNext/>
              <w:pBdr>
                <w:top w:val="nil"/>
                <w:left w:val="nil"/>
                <w:bottom w:val="nil"/>
                <w:right w:val="nil"/>
                <w:between w:val="nil"/>
              </w:pBdr>
              <w:spacing w:line="360" w:lineRule="auto"/>
              <w:rPr>
                <w:color w:val="000000"/>
                <w:sz w:val="22"/>
                <w:szCs w:val="22"/>
              </w:rPr>
            </w:pP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14:paraId="4254DAB3"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Servizio civile </w:t>
            </w:r>
          </w:p>
          <w:p w14:paraId="4C56D08E"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Associazioni volontariato</w:t>
            </w:r>
          </w:p>
        </w:tc>
      </w:tr>
      <w:tr w:rsidR="00231B0C" w14:paraId="685205CA" w14:textId="77777777">
        <w:trPr>
          <w:trHeight w:val="822"/>
        </w:trPr>
        <w:tc>
          <w:tcPr>
            <w:tcW w:w="2300" w:type="dxa"/>
            <w:tcBorders>
              <w:top w:val="single" w:sz="4" w:space="0" w:color="000000"/>
              <w:left w:val="nil"/>
              <w:bottom w:val="single" w:sz="4" w:space="0" w:color="000000"/>
              <w:right w:val="nil"/>
            </w:tcBorders>
            <w:tcMar>
              <w:top w:w="80" w:type="dxa"/>
              <w:left w:w="80" w:type="dxa"/>
              <w:bottom w:w="80" w:type="dxa"/>
              <w:right w:w="80" w:type="dxa"/>
            </w:tcMar>
          </w:tcPr>
          <w:p w14:paraId="3FAC6E10"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PRESA IN CARICO</w:t>
            </w:r>
          </w:p>
          <w:p w14:paraId="55072F35"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(Core Team)</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14:paraId="0FAAE477"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Oncologi </w:t>
            </w:r>
          </w:p>
          <w:p w14:paraId="2A0B6566"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Urologi Oncologici</w:t>
            </w:r>
          </w:p>
          <w:p w14:paraId="123DCE6D"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Radioterapisti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14:paraId="6824F34D"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UOC Oncologia Medica </w:t>
            </w:r>
          </w:p>
          <w:p w14:paraId="6C96CAA7"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UOC Urologia </w:t>
            </w:r>
          </w:p>
          <w:p w14:paraId="6FE96845"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UOC Radioterapia </w:t>
            </w:r>
          </w:p>
        </w:tc>
      </w:tr>
      <w:tr w:rsidR="00231B0C" w14:paraId="45A8F027" w14:textId="77777777">
        <w:trPr>
          <w:cantSplit/>
          <w:trHeight w:val="3859"/>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14:paraId="2DB517C9"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ASSISTENZA</w:t>
            </w:r>
          </w:p>
          <w:p w14:paraId="175E4819"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(Extended Team)</w:t>
            </w:r>
          </w:p>
          <w:p w14:paraId="1700A4E7" w14:textId="77777777" w:rsidR="00231B0C" w:rsidRDefault="00231B0C">
            <w:pPr>
              <w:keepNext/>
              <w:pBdr>
                <w:top w:val="nil"/>
                <w:left w:val="nil"/>
                <w:bottom w:val="nil"/>
                <w:right w:val="nil"/>
                <w:between w:val="nil"/>
              </w:pBdr>
              <w:spacing w:line="360" w:lineRule="auto"/>
              <w:rPr>
                <w:color w:val="000000"/>
                <w:sz w:val="22"/>
                <w:szCs w:val="22"/>
              </w:rPr>
            </w:pPr>
          </w:p>
          <w:p w14:paraId="0EC2DFC7" w14:textId="77777777" w:rsidR="00231B0C" w:rsidRDefault="00231B0C">
            <w:pPr>
              <w:keepNext/>
              <w:pBdr>
                <w:top w:val="nil"/>
                <w:left w:val="nil"/>
                <w:bottom w:val="nil"/>
                <w:right w:val="nil"/>
                <w:between w:val="nil"/>
              </w:pBdr>
              <w:spacing w:line="360" w:lineRule="auto"/>
              <w:rPr>
                <w:color w:val="000000"/>
                <w:sz w:val="22"/>
                <w:szCs w:val="22"/>
              </w:rPr>
            </w:pPr>
          </w:p>
          <w:p w14:paraId="650F8F10" w14:textId="77777777" w:rsidR="00231B0C" w:rsidRDefault="00231B0C">
            <w:pPr>
              <w:keepNext/>
              <w:pBdr>
                <w:top w:val="nil"/>
                <w:left w:val="nil"/>
                <w:bottom w:val="nil"/>
                <w:right w:val="nil"/>
                <w:between w:val="nil"/>
              </w:pBdr>
              <w:spacing w:line="360" w:lineRule="auto"/>
              <w:rPr>
                <w:color w:val="000000"/>
                <w:sz w:val="22"/>
                <w:szCs w:val="22"/>
              </w:rPr>
            </w:pPr>
          </w:p>
          <w:p w14:paraId="20F03461" w14:textId="77777777" w:rsidR="00231B0C" w:rsidRDefault="008D7880">
            <w:pPr>
              <w:keepNext/>
              <w:pBdr>
                <w:top w:val="nil"/>
                <w:left w:val="nil"/>
                <w:bottom w:val="nil"/>
                <w:right w:val="nil"/>
                <w:between w:val="nil"/>
              </w:pBdr>
              <w:spacing w:line="360" w:lineRule="auto"/>
              <w:rPr>
                <w:color w:val="000000"/>
                <w:sz w:val="22"/>
                <w:szCs w:val="22"/>
              </w:rPr>
            </w:pPr>
            <w:r>
              <w:rPr>
                <w:i/>
                <w:color w:val="000000"/>
                <w:sz w:val="22"/>
                <w:szCs w:val="22"/>
              </w:rPr>
              <w:t xml:space="preserve"> </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14:paraId="3A161F5E"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Oncologi </w:t>
            </w:r>
          </w:p>
          <w:p w14:paraId="7DBE207A"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Urologi Oncologici</w:t>
            </w:r>
          </w:p>
          <w:p w14:paraId="01F0E588"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Radioterapisti </w:t>
            </w:r>
          </w:p>
          <w:p w14:paraId="11A2339A"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Patologi clinici</w:t>
            </w:r>
          </w:p>
          <w:p w14:paraId="16A26056"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Biologi Molecolari</w:t>
            </w:r>
          </w:p>
          <w:p w14:paraId="6E566EFF"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Anatomopatologi</w:t>
            </w:r>
          </w:p>
          <w:p w14:paraId="04ED2FD7"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Radiologi</w:t>
            </w:r>
          </w:p>
          <w:p w14:paraId="1A5100AF"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Radiologi interventisti</w:t>
            </w:r>
          </w:p>
          <w:p w14:paraId="3093E82E"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Medici del dolore</w:t>
            </w:r>
          </w:p>
          <w:p w14:paraId="353F05CD"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Cardiologi</w:t>
            </w:r>
          </w:p>
          <w:p w14:paraId="4DCE6230"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Psicologi</w:t>
            </w:r>
          </w:p>
          <w:p w14:paraId="0199A7AE"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Nutrizionisti</w:t>
            </w:r>
          </w:p>
          <w:p w14:paraId="7EC26253"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Fisiatri</w:t>
            </w:r>
          </w:p>
          <w:p w14:paraId="0242F920"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Personale infermieristico</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14:paraId="5E5C0016"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UOC Oncologia Medica </w:t>
            </w:r>
          </w:p>
          <w:p w14:paraId="0A7C466E"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UOC Urologia </w:t>
            </w:r>
          </w:p>
          <w:p w14:paraId="5CA6ACCC"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UOC Radioterapia </w:t>
            </w:r>
          </w:p>
          <w:p w14:paraId="013FE8DA"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 xml:space="preserve">UOC Patologia clinica  </w:t>
            </w:r>
          </w:p>
          <w:p w14:paraId="0BD4A567"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UOC Biologia Molecolare</w:t>
            </w:r>
          </w:p>
          <w:p w14:paraId="77DA085A"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UOC Anatomia Patologica</w:t>
            </w:r>
          </w:p>
          <w:p w14:paraId="027F6949"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UOC Radiodiagnostica</w:t>
            </w:r>
          </w:p>
          <w:p w14:paraId="6CF6C5B2"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UOC Radiologia interventistica</w:t>
            </w:r>
          </w:p>
          <w:p w14:paraId="520B3600"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 Terapie Palliative</w:t>
            </w:r>
          </w:p>
          <w:p w14:paraId="132383FB"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 Cardiologia</w:t>
            </w:r>
          </w:p>
          <w:p w14:paraId="548AEFD3"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 Psicologia</w:t>
            </w:r>
          </w:p>
          <w:p w14:paraId="711F61F8"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 Nutrizione</w:t>
            </w:r>
          </w:p>
          <w:p w14:paraId="5BFE4BA5"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 Medicina Riabilitativa</w:t>
            </w:r>
          </w:p>
        </w:tc>
      </w:tr>
      <w:tr w:rsidR="00231B0C" w14:paraId="018CAA88" w14:textId="77777777">
        <w:trPr>
          <w:cantSplit/>
          <w:trHeight w:val="1635"/>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14:paraId="7D11E1A1" w14:textId="77777777" w:rsidR="00231B0C" w:rsidRDefault="00231B0C">
            <w:pPr>
              <w:widowControl w:val="0"/>
              <w:pBdr>
                <w:top w:val="nil"/>
                <w:left w:val="nil"/>
                <w:bottom w:val="nil"/>
                <w:right w:val="nil"/>
                <w:between w:val="nil"/>
              </w:pBdr>
              <w:spacing w:line="276" w:lineRule="auto"/>
              <w:rPr>
                <w:color w:val="000000"/>
                <w:sz w:val="22"/>
                <w:szCs w:val="22"/>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14:paraId="3209D90C"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Farmacisti</w:t>
            </w:r>
          </w:p>
          <w:p w14:paraId="3ED86911"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Personale Infermieristico e/o Tecnici di laboratorio medico</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14:paraId="0F438480"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UO Farmacia</w:t>
            </w:r>
          </w:p>
          <w:p w14:paraId="2C3ED561" w14:textId="77777777" w:rsidR="00231B0C" w:rsidRDefault="008D7880">
            <w:pPr>
              <w:keepNext/>
              <w:pBdr>
                <w:top w:val="nil"/>
                <w:left w:val="nil"/>
                <w:bottom w:val="nil"/>
                <w:right w:val="nil"/>
                <w:between w:val="nil"/>
              </w:pBdr>
              <w:spacing w:line="360" w:lineRule="auto"/>
              <w:rPr>
                <w:color w:val="000000"/>
                <w:sz w:val="22"/>
                <w:szCs w:val="22"/>
              </w:rPr>
            </w:pPr>
            <w:r>
              <w:rPr>
                <w:color w:val="000000"/>
                <w:sz w:val="22"/>
                <w:szCs w:val="22"/>
              </w:rPr>
              <w:t>Unità di Manipolazione di Chemioterapici Antineoplastici (UMACA/UFA)</w:t>
            </w:r>
          </w:p>
        </w:tc>
      </w:tr>
    </w:tbl>
    <w:p w14:paraId="0C76D10B" w14:textId="77777777" w:rsidR="00231B0C" w:rsidRDefault="00231B0C">
      <w:pPr>
        <w:pBdr>
          <w:top w:val="nil"/>
          <w:left w:val="nil"/>
          <w:bottom w:val="nil"/>
          <w:right w:val="nil"/>
          <w:between w:val="nil"/>
        </w:pBdr>
        <w:spacing w:line="360" w:lineRule="auto"/>
        <w:jc w:val="both"/>
        <w:rPr>
          <w:color w:val="000000"/>
          <w:sz w:val="24"/>
          <w:szCs w:val="24"/>
        </w:rPr>
      </w:pPr>
    </w:p>
    <w:p w14:paraId="453E37DD"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7EF1E658" w14:textId="77777777" w:rsidR="00231B0C" w:rsidRDefault="00231B0C">
      <w:pPr>
        <w:pBdr>
          <w:top w:val="nil"/>
          <w:left w:val="nil"/>
          <w:bottom w:val="nil"/>
          <w:right w:val="nil"/>
          <w:between w:val="nil"/>
        </w:pBdr>
        <w:spacing w:before="100" w:after="100" w:line="360" w:lineRule="auto"/>
        <w:jc w:val="both"/>
        <w:rPr>
          <w:color w:val="000000"/>
          <w:sz w:val="24"/>
          <w:szCs w:val="24"/>
        </w:rPr>
      </w:pPr>
    </w:p>
    <w:p w14:paraId="211ECA63" w14:textId="77777777" w:rsidR="00231B0C" w:rsidRDefault="008D7880">
      <w:pPr>
        <w:pBdr>
          <w:top w:val="nil"/>
          <w:left w:val="nil"/>
          <w:bottom w:val="nil"/>
          <w:right w:val="nil"/>
          <w:between w:val="nil"/>
        </w:pBdr>
        <w:spacing w:line="360" w:lineRule="auto"/>
        <w:jc w:val="center"/>
        <w:rPr>
          <w:color w:val="000000"/>
          <w:sz w:val="24"/>
          <w:szCs w:val="24"/>
        </w:rPr>
      </w:pPr>
      <w:r>
        <w:rPr>
          <w:b/>
          <w:color w:val="000000"/>
          <w:sz w:val="24"/>
          <w:szCs w:val="24"/>
        </w:rPr>
        <w:lastRenderedPageBreak/>
        <w:t>TUMORE DEL RENE</w:t>
      </w:r>
    </w:p>
    <w:p w14:paraId="3546FABA"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Carcinomi del parenchima renale</w:t>
      </w:r>
    </w:p>
    <w:p w14:paraId="7F0D8556"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b/>
          <w:color w:val="000000"/>
          <w:sz w:val="24"/>
          <w:szCs w:val="24"/>
        </w:rPr>
        <w:t>Brevi note epidemiologiche</w:t>
      </w:r>
    </w:p>
    <w:p w14:paraId="44C1374B"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b/>
          <w:color w:val="000000"/>
          <w:sz w:val="24"/>
          <w:szCs w:val="24"/>
        </w:rPr>
        <w:t>Fattori di rischio</w:t>
      </w:r>
    </w:p>
    <w:p w14:paraId="4373063F"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color w:val="000000"/>
          <w:sz w:val="24"/>
          <w:szCs w:val="24"/>
        </w:rPr>
        <w:t>I carcinomi del parenchima renale rappresentano oltre l’85% dei tumori maligni del rene. Tra i principali fattori di rischio sono stati individuati: il fumo di sigaretta, cui è attribuibile</w:t>
      </w:r>
      <w:r>
        <w:rPr>
          <w:b/>
          <w:color w:val="000000"/>
          <w:sz w:val="24"/>
          <w:szCs w:val="24"/>
        </w:rPr>
        <w:t xml:space="preserve"> </w:t>
      </w:r>
      <w:r>
        <w:rPr>
          <w:color w:val="000000"/>
          <w:sz w:val="24"/>
          <w:szCs w:val="24"/>
        </w:rPr>
        <w:t>circa il 40% dei casi nei maschi, l’ipertensione arteriosa, il sovrappeso e l’obesità, specialmente nelle donne. L’esposizione occupazionale all’arsenico e ad</w:t>
      </w:r>
      <w:r>
        <w:rPr>
          <w:b/>
          <w:color w:val="000000"/>
          <w:sz w:val="24"/>
          <w:szCs w:val="24"/>
        </w:rPr>
        <w:t xml:space="preserve"> </w:t>
      </w:r>
      <w:r>
        <w:rPr>
          <w:color w:val="000000"/>
          <w:sz w:val="24"/>
          <w:szCs w:val="24"/>
        </w:rPr>
        <w:t>altri cancerogeni chimici rappresenta un ulteriore fattore di rischio. A fronte della larghissima quota di casi sporadici, circa il 4% dei carcinomi renali presenta trasmissione familiare con modalità autosomica dominante ed insorgenza giovanile. Sono note inoltre sindromi genetiche ad alto rischio di carcinoma renale: nella sindrome di Von Hippel Lindau (VHL) da metà a circa 2/3 dei pazienti presentano insorgenza di cisti e carcinomi renali bilaterali; esistono, inoltre, una variante di carcinoma renale ereditario senza altre manifestazioni della VHL ed una variante di carcinoma renale bilaterale di tipo papillare con anomalie citogenetiche e mutazioni nel proto-oncogene MET. Il progressivo miglioramento della diagnostica per immagini negli ultimi decenni ha determinato l’aumento delle diagnosi precoci di lesioni asintomatiche, con ricaduta sui più importanti indicatori epidemiologici ed i loro andamenti nel tempo.</w:t>
      </w:r>
    </w:p>
    <w:p w14:paraId="2EC37C19" w14:textId="77777777" w:rsidR="00231B0C" w:rsidRDefault="00231B0C">
      <w:pPr>
        <w:pBdr>
          <w:top w:val="nil"/>
          <w:left w:val="nil"/>
          <w:bottom w:val="nil"/>
          <w:right w:val="nil"/>
          <w:between w:val="nil"/>
        </w:pBdr>
        <w:spacing w:before="100" w:after="100" w:line="360" w:lineRule="auto"/>
        <w:jc w:val="both"/>
        <w:rPr>
          <w:color w:val="000000"/>
          <w:sz w:val="24"/>
          <w:szCs w:val="24"/>
        </w:rPr>
      </w:pPr>
    </w:p>
    <w:p w14:paraId="1C7CA36D"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b/>
          <w:color w:val="000000"/>
          <w:sz w:val="24"/>
          <w:szCs w:val="24"/>
        </w:rPr>
        <w:t>Incidenza</w:t>
      </w:r>
    </w:p>
    <w:p w14:paraId="749645FD"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La stima al 2022 dei nuovi casi di tumori del parenchima renale in Europa</w:t>
      </w:r>
      <w:r>
        <w:rPr>
          <w:color w:val="000000"/>
          <w:sz w:val="24"/>
          <w:szCs w:val="24"/>
          <w:vertAlign w:val="superscript"/>
        </w:rPr>
        <w:footnoteReference w:id="1"/>
      </w:r>
      <w:r>
        <w:rPr>
          <w:color w:val="000000"/>
          <w:sz w:val="24"/>
          <w:szCs w:val="24"/>
        </w:rPr>
        <w:t xml:space="preserve"> è di un ASR di 26,8 per 100.000 nei maschi e 12,2 per 100.000 nelle donne con un numero di casi atteso di 90.572 (58.213 uomini e 32.359 donne). In Italia</w:t>
      </w:r>
      <w:r>
        <w:rPr>
          <w:color w:val="000000"/>
          <w:sz w:val="24"/>
          <w:szCs w:val="24"/>
          <w:vertAlign w:val="superscript"/>
        </w:rPr>
        <w:t>1</w:t>
      </w:r>
      <w:r>
        <w:rPr>
          <w:color w:val="000000"/>
          <w:sz w:val="24"/>
          <w:szCs w:val="24"/>
        </w:rPr>
        <w:t xml:space="preserve"> gli equivalenti dati stimati al 2022 indicano un ASR di 28,3 per 100.000 nei maschi e 11,7 per 100.000 nelle donne con una stima dei casi attesi nel 2022 di 13.666 (9.090 uomini e 4.576 donne). Il tumore del rene rappresenta nei maschi, sia in Europa che in Italia, il quinto tumore per incidenza, con una percentuale rispettivamente del 4% e del 4,3% di tutti i tumori diagnosticati.</w:t>
      </w:r>
    </w:p>
    <w:p w14:paraId="4408005C"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In Campania</w:t>
      </w:r>
      <w:r>
        <w:rPr>
          <w:color w:val="000000"/>
          <w:sz w:val="24"/>
          <w:szCs w:val="24"/>
          <w:vertAlign w:val="superscript"/>
        </w:rPr>
        <w:footnoteReference w:id="2"/>
      </w:r>
      <w:r>
        <w:rPr>
          <w:color w:val="000000"/>
          <w:sz w:val="24"/>
          <w:szCs w:val="24"/>
        </w:rPr>
        <w:t>, è stato rilevato, per il periodo 2014/2018, nei maschi, un tasso di incidenza di 18,5 per 100.000, e nelle donne un tasso di incidenza di 8,9 per 100.000.</w:t>
      </w:r>
    </w:p>
    <w:p w14:paraId="0202903C"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Il trend temporale di incidenza in Campania</w:t>
      </w:r>
      <w:r>
        <w:rPr>
          <w:color w:val="000000"/>
          <w:sz w:val="24"/>
          <w:szCs w:val="24"/>
          <w:vertAlign w:val="superscript"/>
        </w:rPr>
        <w:t>2</w:t>
      </w:r>
      <w:r>
        <w:rPr>
          <w:color w:val="000000"/>
          <w:sz w:val="24"/>
          <w:szCs w:val="24"/>
        </w:rPr>
        <w:t xml:space="preserve"> evidenzia, nel periodo 2010/2024 in entrambi i generi, un incremento statisticamente significativo:</w:t>
      </w:r>
    </w:p>
    <w:p w14:paraId="3763F3DC" w14:textId="77777777" w:rsidR="00231B0C" w:rsidRDefault="008D7880">
      <w:pPr>
        <w:numPr>
          <w:ilvl w:val="0"/>
          <w:numId w:val="12"/>
        </w:num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nei maschi con una APC (Annual Percentage Change) di +2,6 (IC95%:1,2; 4,1), ed un ASR stimato al 2024 di 22,7 per 100.000 con un numero di 615 nuovi casi annui attesi;  </w:t>
      </w:r>
    </w:p>
    <w:p w14:paraId="108F2342" w14:textId="77777777" w:rsidR="00231B0C" w:rsidRDefault="008D7880">
      <w:pPr>
        <w:numPr>
          <w:ilvl w:val="0"/>
          <w:numId w:val="12"/>
        </w:numPr>
        <w:pBdr>
          <w:top w:val="nil"/>
          <w:left w:val="nil"/>
          <w:bottom w:val="nil"/>
          <w:right w:val="nil"/>
          <w:between w:val="nil"/>
        </w:pBdr>
        <w:spacing w:line="360" w:lineRule="auto"/>
        <w:jc w:val="both"/>
        <w:rPr>
          <w:color w:val="000000"/>
          <w:sz w:val="24"/>
          <w:szCs w:val="24"/>
        </w:rPr>
      </w:pPr>
      <w:r>
        <w:rPr>
          <w:color w:val="000000"/>
          <w:sz w:val="24"/>
          <w:szCs w:val="24"/>
        </w:rPr>
        <w:t xml:space="preserve">nelle donne con una APC (Annual Percentage Change) di +2,5 (IC95%:0,5;4,6) ed un ASR al 2024 di 10,7 per 100.000 con un numero di 304 nuovi casi annui attesi. </w:t>
      </w:r>
    </w:p>
    <w:p w14:paraId="5E484768" w14:textId="77777777" w:rsidR="00231B0C" w:rsidRDefault="00231B0C">
      <w:pPr>
        <w:pBdr>
          <w:top w:val="nil"/>
          <w:left w:val="nil"/>
          <w:bottom w:val="nil"/>
          <w:right w:val="nil"/>
          <w:between w:val="nil"/>
        </w:pBdr>
        <w:spacing w:line="360" w:lineRule="auto"/>
        <w:ind w:left="720"/>
        <w:jc w:val="both"/>
        <w:rPr>
          <w:color w:val="000000"/>
          <w:sz w:val="24"/>
          <w:szCs w:val="24"/>
        </w:rPr>
      </w:pPr>
    </w:p>
    <w:p w14:paraId="15E855F9"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b/>
          <w:color w:val="000000"/>
          <w:sz w:val="24"/>
          <w:szCs w:val="24"/>
        </w:rPr>
        <w:t>Mortalità</w:t>
      </w:r>
    </w:p>
    <w:p w14:paraId="0D36E83C"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color w:val="000000"/>
          <w:sz w:val="24"/>
          <w:szCs w:val="24"/>
        </w:rPr>
        <w:t>La stima al 2022 dei decessi per tumori del rene in Europa</w:t>
      </w:r>
      <w:r>
        <w:rPr>
          <w:color w:val="000000"/>
          <w:sz w:val="24"/>
          <w:szCs w:val="24"/>
          <w:vertAlign w:val="superscript"/>
        </w:rPr>
        <w:t>1</w:t>
      </w:r>
      <w:r>
        <w:rPr>
          <w:color w:val="000000"/>
          <w:sz w:val="24"/>
          <w:szCs w:val="24"/>
        </w:rPr>
        <w:t xml:space="preserve"> è di un ASR di mortalità di 10,4 per 100.000 nei maschi e 4.2 per 100.000 nelle donne con un numero di decessi stimati di 33.371 (21.781 uomini e 11.990 donne). In Italia</w:t>
      </w:r>
      <w:r>
        <w:rPr>
          <w:color w:val="000000"/>
          <w:sz w:val="24"/>
          <w:szCs w:val="24"/>
          <w:vertAlign w:val="superscript"/>
        </w:rPr>
        <w:t>1</w:t>
      </w:r>
      <w:r>
        <w:rPr>
          <w:color w:val="000000"/>
          <w:sz w:val="24"/>
          <w:szCs w:val="24"/>
        </w:rPr>
        <w:t xml:space="preserve"> gli equivalenti dati stimati al 2022 indicano un ASR di 9,1 per 100.000 nei maschi e di 3,8 per 100.000 donne con una stima dei decessi nel 2022 di 4.592 (2.914 maschi e 1.678 donne). </w:t>
      </w:r>
    </w:p>
    <w:p w14:paraId="0E77F0CF" w14:textId="77777777" w:rsidR="00231B0C" w:rsidRDefault="008D7880">
      <w:pPr>
        <w:pBdr>
          <w:top w:val="nil"/>
          <w:left w:val="nil"/>
          <w:bottom w:val="nil"/>
          <w:right w:val="nil"/>
          <w:between w:val="nil"/>
        </w:pBdr>
        <w:spacing w:after="93" w:line="360" w:lineRule="auto"/>
        <w:ind w:left="72" w:right="569" w:hanging="10"/>
        <w:jc w:val="both"/>
        <w:rPr>
          <w:color w:val="000000"/>
          <w:sz w:val="24"/>
          <w:szCs w:val="24"/>
        </w:rPr>
      </w:pPr>
      <w:r>
        <w:rPr>
          <w:color w:val="000000"/>
          <w:sz w:val="24"/>
          <w:szCs w:val="24"/>
        </w:rPr>
        <w:t>In Campania</w:t>
      </w:r>
      <w:r>
        <w:rPr>
          <w:color w:val="000000"/>
          <w:sz w:val="24"/>
          <w:szCs w:val="24"/>
          <w:vertAlign w:val="superscript"/>
        </w:rPr>
        <w:t>2</w:t>
      </w:r>
      <w:r>
        <w:rPr>
          <w:color w:val="000000"/>
          <w:sz w:val="24"/>
          <w:szCs w:val="24"/>
        </w:rPr>
        <w:t xml:space="preserve">, nel quinquennio 2015/2019, è stato rilevato un ASR di mortalità di 7,6 per 100.000 nei maschi e 3,0 per 100.000 nelle donne. </w:t>
      </w:r>
    </w:p>
    <w:p w14:paraId="2A5DF2B8" w14:textId="77777777" w:rsidR="00231B0C" w:rsidRDefault="00231B0C">
      <w:pPr>
        <w:pBdr>
          <w:top w:val="nil"/>
          <w:left w:val="nil"/>
          <w:bottom w:val="nil"/>
          <w:right w:val="nil"/>
          <w:between w:val="nil"/>
        </w:pBdr>
        <w:spacing w:before="100" w:after="100" w:line="360" w:lineRule="auto"/>
        <w:jc w:val="both"/>
        <w:rPr>
          <w:color w:val="000000"/>
          <w:sz w:val="24"/>
          <w:szCs w:val="24"/>
        </w:rPr>
      </w:pPr>
    </w:p>
    <w:p w14:paraId="71353530"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b/>
          <w:color w:val="000000"/>
          <w:sz w:val="24"/>
          <w:szCs w:val="24"/>
        </w:rPr>
        <w:t>Sopravvivenz</w:t>
      </w:r>
      <w:r>
        <w:rPr>
          <w:color w:val="000000"/>
          <w:sz w:val="24"/>
          <w:szCs w:val="24"/>
        </w:rPr>
        <w:t>a</w:t>
      </w:r>
    </w:p>
    <w:p w14:paraId="2146630F"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color w:val="000000"/>
          <w:sz w:val="24"/>
          <w:szCs w:val="24"/>
        </w:rPr>
        <w:t>La sopravvivenza in Italia dei tumori del rene</w:t>
      </w:r>
      <w:r>
        <w:rPr>
          <w:color w:val="000000"/>
          <w:sz w:val="24"/>
          <w:szCs w:val="24"/>
          <w:vertAlign w:val="superscript"/>
        </w:rPr>
        <w:footnoteReference w:id="3"/>
      </w:r>
      <w:r>
        <w:rPr>
          <w:color w:val="000000"/>
          <w:sz w:val="24"/>
          <w:szCs w:val="24"/>
        </w:rPr>
        <w:t xml:space="preserve"> a 5 anni dalla diagnosi è pari al 70% negli uomini ed al 72% nelle donne; in Campania si osserva una sopravvivenza simile a quella rilevata a livello nazionale, con il 69% di sopravvivenza a 5 anni nei maschi ed il 72% nelle donne. </w:t>
      </w:r>
    </w:p>
    <w:p w14:paraId="2452EA3A" w14:textId="77777777" w:rsidR="00231B0C" w:rsidRDefault="00231B0C">
      <w:pPr>
        <w:pBdr>
          <w:top w:val="nil"/>
          <w:left w:val="nil"/>
          <w:bottom w:val="nil"/>
          <w:right w:val="nil"/>
          <w:between w:val="nil"/>
        </w:pBdr>
        <w:spacing w:before="100" w:after="100" w:line="360" w:lineRule="auto"/>
        <w:jc w:val="both"/>
        <w:rPr>
          <w:color w:val="000000"/>
          <w:sz w:val="24"/>
          <w:szCs w:val="24"/>
        </w:rPr>
      </w:pPr>
    </w:p>
    <w:p w14:paraId="1BF07A41"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b/>
          <w:color w:val="000000"/>
          <w:sz w:val="24"/>
          <w:szCs w:val="24"/>
        </w:rPr>
        <w:t>Percorsi diagnostico clinici dei pazienti residenti in Regione Campania</w:t>
      </w:r>
      <w:r>
        <w:rPr>
          <w:color w:val="000000"/>
          <w:sz w:val="24"/>
          <w:szCs w:val="24"/>
        </w:rPr>
        <w:t xml:space="preserve"> </w:t>
      </w:r>
    </w:p>
    <w:p w14:paraId="738ED884" w14:textId="77777777" w:rsidR="00231B0C" w:rsidRDefault="008D7880">
      <w:pPr>
        <w:pBdr>
          <w:top w:val="nil"/>
          <w:left w:val="nil"/>
          <w:bottom w:val="nil"/>
          <w:right w:val="nil"/>
          <w:between w:val="nil"/>
        </w:pBdr>
        <w:spacing w:before="100" w:after="100" w:line="360" w:lineRule="auto"/>
        <w:jc w:val="both"/>
        <w:rPr>
          <w:color w:val="000000"/>
          <w:sz w:val="24"/>
          <w:szCs w:val="24"/>
        </w:rPr>
      </w:pPr>
      <w:bookmarkStart w:id="2" w:name="_fv0ipiqw587k" w:colFirst="0" w:colLast="0"/>
      <w:bookmarkEnd w:id="2"/>
      <w:r>
        <w:rPr>
          <w:color w:val="000000"/>
          <w:sz w:val="24"/>
          <w:szCs w:val="24"/>
        </w:rPr>
        <w:t xml:space="preserve">Nel corso dell’anno 2022 sono stati trattati chirurgicamente per tumore del rene 910 pazienti residenti in Campania; di questi 695 (76,4% della casistica) sono stati trattati in 35 diverse strutture regionali di diagnosi e cura e 215 (23,6 % della casistica) sono stati trattati in ulteriori 64 diverse strutture extraregionali. </w:t>
      </w:r>
    </w:p>
    <w:p w14:paraId="4A15360A"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color w:val="000000"/>
          <w:sz w:val="24"/>
          <w:szCs w:val="24"/>
        </w:rPr>
        <w:t>La mobilità passiva per chirurgia delle neoplasie renali ha evidenziato una marcata riduzione nel corso del 2020, anno Covid, nel quale si è portata al 22,1%, rispetto al triennio precedente (2017/2019) attestata al 27,3%; tale decremento è proseguito ancora nel 2021 (18,7%) ma ha poi ripreso a risalire nel 2022 con un incremento di circa 5 punti percentuali rispetto al 2021.</w:t>
      </w:r>
    </w:p>
    <w:p w14:paraId="2AC701AA"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color w:val="000000"/>
          <w:sz w:val="24"/>
          <w:szCs w:val="24"/>
        </w:rPr>
        <w:t xml:space="preserve">Tale andamento instabile della mobilità passiva, oltre alla frammentazione dei percorsi di diagnosi e cura, sia a livello regionale che extraregionale, ne suggerisce un attento monitoraggio, oltre </w:t>
      </w:r>
      <w:r>
        <w:rPr>
          <w:color w:val="000000"/>
          <w:sz w:val="24"/>
          <w:szCs w:val="24"/>
        </w:rPr>
        <w:lastRenderedPageBreak/>
        <w:t xml:space="preserve">all’attivazione di possibili meccanismi correttivi nell’ambito della Rete Oncologica regionale, per impattare sulla migrazione extraregionale per la chirurgia delle neoplasie renali oltre che sulla qualità dei relativi percorsi assistenziali. </w:t>
      </w:r>
    </w:p>
    <w:p w14:paraId="2F979D0B"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color w:val="000000"/>
          <w:sz w:val="24"/>
          <w:szCs w:val="24"/>
        </w:rPr>
        <w:t>La Rete Oncologica Regionale ha identificato, nel dicembre del 2023, 25 strutture regionali di diagnosi e cura abilitate ad entrare in Rete, in osservazione triennale 2023/2025, per la chirurgia dei tumori dei tumori del rene</w:t>
      </w:r>
      <w:r>
        <w:rPr>
          <w:color w:val="000000"/>
          <w:sz w:val="24"/>
          <w:szCs w:val="24"/>
          <w:vertAlign w:val="superscript"/>
        </w:rPr>
        <w:footnoteReference w:id="4"/>
      </w:r>
      <w:r>
        <w:rPr>
          <w:color w:val="000000"/>
          <w:sz w:val="24"/>
          <w:szCs w:val="24"/>
        </w:rPr>
        <w:t>.</w:t>
      </w:r>
    </w:p>
    <w:p w14:paraId="66707102" w14:textId="77777777" w:rsidR="00231B0C" w:rsidRDefault="008D7880">
      <w:pPr>
        <w:pBdr>
          <w:top w:val="nil"/>
          <w:left w:val="nil"/>
          <w:bottom w:val="nil"/>
          <w:right w:val="nil"/>
          <w:between w:val="nil"/>
        </w:pBdr>
        <w:spacing w:before="100" w:after="100" w:line="360" w:lineRule="auto"/>
        <w:jc w:val="both"/>
        <w:rPr>
          <w:color w:val="000000"/>
          <w:sz w:val="24"/>
          <w:szCs w:val="24"/>
        </w:rPr>
      </w:pPr>
      <w:r>
        <w:rPr>
          <w:color w:val="000000"/>
          <w:sz w:val="24"/>
          <w:szCs w:val="24"/>
        </w:rPr>
        <w:t xml:space="preserve"> (Vedi mappa sotto riportata per la distribuzione delle strutture sul territorio regionale)</w:t>
      </w:r>
    </w:p>
    <w:p w14:paraId="02AC348B"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236871AB"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noProof/>
          <w:color w:val="000000"/>
          <w:sz w:val="24"/>
          <w:szCs w:val="24"/>
        </w:rPr>
        <w:drawing>
          <wp:inline distT="0" distB="0" distL="114300" distR="114300" wp14:anchorId="1C278A6E" wp14:editId="33F658C8">
            <wp:extent cx="6477000" cy="456692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477000" cy="4566920"/>
                    </a:xfrm>
                    <a:prstGeom prst="rect">
                      <a:avLst/>
                    </a:prstGeom>
                    <a:ln/>
                  </pic:spPr>
                </pic:pic>
              </a:graphicData>
            </a:graphic>
          </wp:inline>
        </w:drawing>
      </w:r>
    </w:p>
    <w:p w14:paraId="78DD774D"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6336AF12" w14:textId="77777777" w:rsidR="00231B0C" w:rsidRDefault="008D7880">
      <w:pPr>
        <w:pBdr>
          <w:top w:val="nil"/>
          <w:left w:val="nil"/>
          <w:bottom w:val="nil"/>
          <w:right w:val="nil"/>
          <w:between w:val="nil"/>
        </w:pBdr>
        <w:spacing w:before="100" w:after="100" w:line="360" w:lineRule="auto"/>
        <w:rPr>
          <w:color w:val="000000"/>
          <w:sz w:val="24"/>
          <w:szCs w:val="24"/>
        </w:rPr>
      </w:pPr>
      <w:r>
        <w:rPr>
          <w:b/>
          <w:color w:val="000000"/>
          <w:sz w:val="24"/>
          <w:szCs w:val="24"/>
        </w:rPr>
        <w:t>La mappa è in fase di revisione in base alla valutazione annuale del Decreto n.477 del 4 novembre 2021 attuato con Delibera 272 del 7.6.2022. Gli aggiornamenti della mappa saranno pubblicati sul sito della Rete Oncologica Campana (</w:t>
      </w:r>
      <w:hyperlink r:id="rId10">
        <w:r w:rsidR="00231B0C">
          <w:rPr>
            <w:color w:val="0000FF"/>
            <w:sz w:val="24"/>
            <w:szCs w:val="24"/>
            <w:u w:val="single"/>
          </w:rPr>
          <w:t>https://www.reteoncologicacampana.it/</w:t>
        </w:r>
      </w:hyperlink>
      <w:r>
        <w:rPr>
          <w:b/>
          <w:color w:val="000000"/>
          <w:sz w:val="24"/>
          <w:szCs w:val="24"/>
        </w:rPr>
        <w:t>)</w:t>
      </w:r>
    </w:p>
    <w:p w14:paraId="43E7272C"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5D69077"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color w:val="000000"/>
          <w:sz w:val="24"/>
          <w:szCs w:val="24"/>
        </w:rPr>
        <w:lastRenderedPageBreak/>
        <w:t>PERCORSO PER SEGMENTAZIONE</w:t>
      </w:r>
    </w:p>
    <w:p w14:paraId="6370D1A9" w14:textId="77777777" w:rsidR="00231B0C" w:rsidRDefault="008D7880">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Percorso diagnostico/stadiativo del paziente con sospetta neoplasia renale</w:t>
      </w:r>
    </w:p>
    <w:p w14:paraId="7A283594" w14:textId="77777777" w:rsidR="00231B0C" w:rsidRDefault="008D7880">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Percorso terapeutico della neoplasia renale localizzata</w:t>
      </w:r>
    </w:p>
    <w:p w14:paraId="739C7243" w14:textId="77777777" w:rsidR="00231B0C" w:rsidRDefault="008D7880">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Percorso terapeutico della neoplasia renale avanzata </w:t>
      </w:r>
    </w:p>
    <w:p w14:paraId="53D86C26" w14:textId="77777777" w:rsidR="00231B0C" w:rsidRDefault="008D7880">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Follow up</w:t>
      </w:r>
    </w:p>
    <w:p w14:paraId="30B9D8BB" w14:textId="77777777" w:rsidR="00231B0C" w:rsidRDefault="00231B0C">
      <w:pPr>
        <w:pBdr>
          <w:top w:val="nil"/>
          <w:left w:val="nil"/>
          <w:bottom w:val="nil"/>
          <w:right w:val="nil"/>
          <w:between w:val="nil"/>
        </w:pBdr>
        <w:spacing w:line="360" w:lineRule="auto"/>
        <w:jc w:val="both"/>
        <w:rPr>
          <w:color w:val="000000"/>
          <w:sz w:val="24"/>
          <w:szCs w:val="24"/>
        </w:rPr>
      </w:pPr>
    </w:p>
    <w:p w14:paraId="64BC3920" w14:textId="77777777" w:rsidR="00231B0C" w:rsidRDefault="008D7880">
      <w:pPr>
        <w:pBdr>
          <w:top w:val="nil"/>
          <w:left w:val="nil"/>
          <w:bottom w:val="nil"/>
          <w:right w:val="nil"/>
          <w:between w:val="nil"/>
        </w:pBdr>
        <w:tabs>
          <w:tab w:val="left" w:pos="1055"/>
        </w:tabs>
        <w:spacing w:line="360" w:lineRule="auto"/>
        <w:rPr>
          <w:color w:val="000000"/>
          <w:sz w:val="24"/>
          <w:szCs w:val="24"/>
        </w:rPr>
      </w:pPr>
      <w:r>
        <w:rPr>
          <w:b/>
          <w:smallCaps/>
          <w:color w:val="000000"/>
          <w:sz w:val="24"/>
          <w:szCs w:val="24"/>
        </w:rPr>
        <w:t>PERCORSO DIAGNOSTICO/STADIATIVO DEL PAZIENTE CON SOSPETTA NEOPLASIA RENALE</w:t>
      </w:r>
    </w:p>
    <w:p w14:paraId="23E86D7F"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26BD780E"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Il tumore del rene è, in Italia, il settimo per frequenza e costituisce il 2-3% di tutte le neoplasie dell’uomo con maggiore incidenza nel sesso maschile. Oltre il 90% dei tumori renali si sviluppano dal parenchima (adenocarcinoma), di questi l’istotipo più comune è il carcinoma renale a cellule chiare (70-80% dei casi), seguito dal carcinoma renale papillare (10-15%), carcinoma cromofobo (5%), dei dotti collettori. Meno del 10% insorge dalla pelvi renale o dall’uretere (carcinomi a cellule di transizione o uroteliali). La presenza di una componente sarcomatoide (che andrebbe sempre indicata all’esame istologico, insieme alla eventuale componente rabdoide) è indicativa di una malattia più aggressiva.</w:t>
      </w:r>
    </w:p>
    <w:p w14:paraId="4DB37F89" w14:textId="77777777" w:rsidR="00231B0C" w:rsidRDefault="00231B0C">
      <w:pPr>
        <w:pBdr>
          <w:top w:val="nil"/>
          <w:left w:val="nil"/>
          <w:bottom w:val="nil"/>
          <w:right w:val="nil"/>
          <w:between w:val="nil"/>
        </w:pBdr>
        <w:spacing w:line="360" w:lineRule="auto"/>
        <w:jc w:val="both"/>
        <w:rPr>
          <w:color w:val="000000"/>
          <w:sz w:val="24"/>
          <w:szCs w:val="24"/>
        </w:rPr>
      </w:pPr>
    </w:p>
    <w:p w14:paraId="7A308B6C"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xml:space="preserve">Anamnesi familiare </w:t>
      </w:r>
    </w:p>
    <w:p w14:paraId="3361BA93" w14:textId="4622EED2"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Fattori di rischio ben definiti sono rappresentati da: fumo di tabacco, obesità, ipertensione arteriosa, la malattia cistica renale e l’esposizione occupazionale a cancerogeni chimici.</w:t>
      </w:r>
      <w:r w:rsidR="0022386E" w:rsidRPr="0022386E">
        <w:t xml:space="preserve"> </w:t>
      </w:r>
      <w:r w:rsidR="0022386E" w:rsidRPr="0022386E">
        <w:rPr>
          <w:color w:val="000000"/>
          <w:sz w:val="24"/>
          <w:szCs w:val="24"/>
        </w:rPr>
        <w:t>L’esposizione cronica ad alcuni metalli e sostanze particolari (come cadmio, fenacetina e trielina) può costituire un fattore di rischio</w:t>
      </w:r>
      <w:r w:rsidR="0022386E">
        <w:rPr>
          <w:color w:val="000000"/>
          <w:sz w:val="24"/>
          <w:szCs w:val="24"/>
        </w:rPr>
        <w:t>.</w:t>
      </w:r>
      <w:r>
        <w:rPr>
          <w:color w:val="000000"/>
          <w:sz w:val="24"/>
          <w:szCs w:val="24"/>
        </w:rPr>
        <w:t xml:space="preserve"> Esistono forme definite familiari che indicano per i parenti di primo grado di pazienti con tumore del rene un rischio raddoppiato di sviluppare la stessa neoplasia. Una piccola quota di tumori si manifesta anche in alcune sindromi genetiche: in particolare nei pazienti con sindrome di Von Hippel Lindau, nei quali è frequente l’insorgenza di tumore a cellule chiare e il carcinoma renale ereditario papillare, molto frequente nella leiomiomatosi ereditaria e nella sindrome di Birt-Hogg-Dubé, una malattia genetica autosomica dominante ca</w:t>
      </w:r>
      <w:r>
        <w:rPr>
          <w:color w:val="000000"/>
          <w:sz w:val="24"/>
          <w:szCs w:val="24"/>
          <w:highlight w:val="white"/>
        </w:rPr>
        <w:t>ratterizzata dalla possibile presenza di tumori cutanei benigni (es. fibrofolliculomi), cisti polmonari e maggior predisposizione allo sviluppo di tumori renali</w:t>
      </w:r>
      <w:r>
        <w:rPr>
          <w:color w:val="000000"/>
          <w:sz w:val="24"/>
          <w:szCs w:val="24"/>
        </w:rPr>
        <w:t>.</w:t>
      </w:r>
    </w:p>
    <w:p w14:paraId="473F7B7C" w14:textId="77777777" w:rsidR="00231B0C" w:rsidRDefault="00231B0C">
      <w:pPr>
        <w:pBdr>
          <w:top w:val="nil"/>
          <w:left w:val="nil"/>
          <w:bottom w:val="nil"/>
          <w:right w:val="nil"/>
          <w:between w:val="nil"/>
        </w:pBdr>
        <w:spacing w:line="360" w:lineRule="auto"/>
        <w:jc w:val="both"/>
        <w:rPr>
          <w:color w:val="000000"/>
          <w:sz w:val="24"/>
          <w:szCs w:val="24"/>
        </w:rPr>
      </w:pPr>
    </w:p>
    <w:p w14:paraId="697114F8" w14:textId="4530BE9D" w:rsidR="00231B0C" w:rsidRDefault="00231B0C">
      <w:pPr>
        <w:pBdr>
          <w:top w:val="nil"/>
          <w:left w:val="nil"/>
          <w:bottom w:val="nil"/>
          <w:right w:val="nil"/>
          <w:between w:val="nil"/>
        </w:pBdr>
        <w:spacing w:line="360" w:lineRule="auto"/>
        <w:jc w:val="both"/>
        <w:rPr>
          <w:color w:val="000000"/>
          <w:sz w:val="24"/>
          <w:szCs w:val="24"/>
        </w:rPr>
      </w:pPr>
    </w:p>
    <w:p w14:paraId="7A0D5C15" w14:textId="6D9283AB" w:rsidR="0022386E" w:rsidRDefault="0022386E">
      <w:pPr>
        <w:pBdr>
          <w:top w:val="nil"/>
          <w:left w:val="nil"/>
          <w:bottom w:val="nil"/>
          <w:right w:val="nil"/>
          <w:between w:val="nil"/>
        </w:pBdr>
        <w:spacing w:line="360" w:lineRule="auto"/>
        <w:jc w:val="both"/>
        <w:rPr>
          <w:color w:val="000000"/>
          <w:sz w:val="24"/>
          <w:szCs w:val="24"/>
        </w:rPr>
      </w:pPr>
    </w:p>
    <w:p w14:paraId="28D222A5" w14:textId="77777777" w:rsidR="0022386E" w:rsidRDefault="0022386E">
      <w:pPr>
        <w:pBdr>
          <w:top w:val="nil"/>
          <w:left w:val="nil"/>
          <w:bottom w:val="nil"/>
          <w:right w:val="nil"/>
          <w:between w:val="nil"/>
        </w:pBdr>
        <w:spacing w:line="360" w:lineRule="auto"/>
        <w:jc w:val="both"/>
        <w:rPr>
          <w:color w:val="000000"/>
          <w:sz w:val="24"/>
          <w:szCs w:val="24"/>
        </w:rPr>
      </w:pPr>
    </w:p>
    <w:p w14:paraId="323E4E87"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lastRenderedPageBreak/>
        <w:t xml:space="preserve">Anamnesi personale </w:t>
      </w:r>
    </w:p>
    <w:p w14:paraId="1B57621E"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La maggior parte dei tumori renali rimane asintomatica fino agli stadi tardivi di malattia. Più del 50% dei tumori renali sono scoperti incidentalmente in corso di imaging non-invasivo eseguito per sintomi aspecifici o per altre malattie addominali. La triade sintomatologica classica caratterizzata da dolore al fianco, macroematuria e massa addominale palpabile, è rara e correlata con malattia avanzata ad istologia aggressiva. Nel caso in cui si presentino i segni clinici sopra citati, il paziente deve rivolgersi all’urologo oncologo. Sindromi paraneoplastiche sono presenti in circa il 30% dei tumori renali sintomatici. Alcuni dei pazienti sintomatici hanno sintomi correlati alle metastasi, come dolore osseo o tosse persistente.</w:t>
      </w:r>
    </w:p>
    <w:p w14:paraId="025BE0E9" w14:textId="77777777" w:rsidR="00231B0C" w:rsidRDefault="00231B0C">
      <w:pPr>
        <w:pBdr>
          <w:top w:val="nil"/>
          <w:left w:val="nil"/>
          <w:bottom w:val="nil"/>
          <w:right w:val="nil"/>
          <w:between w:val="nil"/>
        </w:pBdr>
        <w:spacing w:line="360" w:lineRule="auto"/>
        <w:jc w:val="both"/>
        <w:rPr>
          <w:color w:val="000000"/>
          <w:sz w:val="24"/>
          <w:szCs w:val="24"/>
        </w:rPr>
      </w:pPr>
    </w:p>
    <w:p w14:paraId="19CFED1D"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Esame obiettivo</w:t>
      </w:r>
    </w:p>
    <w:p w14:paraId="58C83A4B"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L’esame obiettivo ha un ruolo limitato nella diagnosi di tumore renale. Tuttavia vi sono alcuni reperti che devono attivare una tempestiva valutazione radiologica, tra cui la presenza di una massa addominale palpabile, una linfoadenomegalia laterocervicale palpabile, l’insorgenza di edema mono o bilaterale degli arti inferiori.</w:t>
      </w:r>
    </w:p>
    <w:p w14:paraId="1471280A" w14:textId="77777777" w:rsidR="00231B0C" w:rsidRDefault="00231B0C">
      <w:pPr>
        <w:pBdr>
          <w:top w:val="nil"/>
          <w:left w:val="nil"/>
          <w:bottom w:val="nil"/>
          <w:right w:val="nil"/>
          <w:between w:val="nil"/>
        </w:pBdr>
        <w:spacing w:line="360" w:lineRule="auto"/>
        <w:jc w:val="both"/>
        <w:rPr>
          <w:color w:val="000000"/>
          <w:sz w:val="24"/>
          <w:szCs w:val="24"/>
        </w:rPr>
      </w:pPr>
    </w:p>
    <w:p w14:paraId="5419C479"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Laboratorio</w:t>
      </w:r>
    </w:p>
    <w:p w14:paraId="7B9342AD"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I dati di laboratorio utili sono: la creatinina serica, il filtrato glomerulare stimato, l’emocromo, la VES, la funzione epatica, la fosfatasi alcalina, la latticodeidrogenasi, il calcio serico, i parametri di coagulazione e l’esame delle urine. In caso di masse renali centrali o che invadano il sistema collettore, citologia urinaria e valutazione endoscopica sono indicate per escludere una neoplasia uroteliale. La valutazione della funzione renale mediante scintigrafia renale è utile in caso di funzione renale compromessa in base ai valori di creatinina e GFR stimato, in caso di rene solitario, di tumori renali multipli bilaterali e in pazienti con grave comorbidità in cui sia prevedibile un futuro deterioramento della funzione renale.</w:t>
      </w:r>
    </w:p>
    <w:p w14:paraId="5B71D631" w14:textId="77777777" w:rsidR="00231B0C" w:rsidRDefault="00231B0C">
      <w:pPr>
        <w:pBdr>
          <w:top w:val="nil"/>
          <w:left w:val="nil"/>
          <w:bottom w:val="nil"/>
          <w:right w:val="nil"/>
          <w:between w:val="nil"/>
        </w:pBdr>
        <w:spacing w:line="360" w:lineRule="auto"/>
        <w:jc w:val="both"/>
        <w:rPr>
          <w:color w:val="000000"/>
          <w:sz w:val="24"/>
          <w:szCs w:val="24"/>
        </w:rPr>
      </w:pPr>
    </w:p>
    <w:p w14:paraId="3932ECA5" w14:textId="77777777" w:rsidR="00231B0C" w:rsidRDefault="008D7880">
      <w:pPr>
        <w:pStyle w:val="Titolo5"/>
        <w:tabs>
          <w:tab w:val="left" w:pos="740"/>
        </w:tabs>
        <w:spacing w:line="360" w:lineRule="auto"/>
        <w:ind w:left="0" w:firstLine="0"/>
      </w:pPr>
      <w:r>
        <w:t>Diagnostica per immagini</w:t>
      </w:r>
    </w:p>
    <w:p w14:paraId="71AD3D6C"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Ecografia renale</w:t>
      </w:r>
    </w:p>
    <w:p w14:paraId="1E1A3D04"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L’esame strumentale attraverso il quale viene più frequentemente diagnosticata una neoplasia renale in assenza di segni/sintomi specifici</w:t>
      </w:r>
      <w:r>
        <w:rPr>
          <w:b/>
          <w:color w:val="000000"/>
          <w:sz w:val="24"/>
          <w:szCs w:val="24"/>
        </w:rPr>
        <w:t xml:space="preserve"> </w:t>
      </w:r>
      <w:r>
        <w:rPr>
          <w:color w:val="000000"/>
          <w:sz w:val="24"/>
          <w:szCs w:val="24"/>
        </w:rPr>
        <w:t xml:space="preserve">è l’ecografia. In presenza di una formazione renale di tipo cistico con setti interni o di una formazione nodulare ipoecogena, l’ecografia di base deve essere integrata con il mezzo di contrasto ecografico (CEUS) che consente di differenziare le formazioni vascolarizzate, suggestive di una neoplasia renale, da quelle non vascolarizzate come le cisti semplici o quelle a contenuto ecogeno di tipo proteinaceo o ematico. Le lesioni ecograficamente sospette in </w:t>
      </w:r>
      <w:r>
        <w:rPr>
          <w:color w:val="000000"/>
          <w:sz w:val="24"/>
          <w:szCs w:val="24"/>
        </w:rPr>
        <w:lastRenderedPageBreak/>
        <w:t>senso oncologico possono essere anche caratterizzate mediante il ricorso alla tomografia computerizzata (TC) o alla risonanza magnetica nucleare (RMN) (</w:t>
      </w:r>
      <w:r>
        <w:rPr>
          <w:b/>
          <w:color w:val="000000"/>
          <w:sz w:val="24"/>
          <w:szCs w:val="24"/>
        </w:rPr>
        <w:t>Tabella 1).</w:t>
      </w:r>
      <w:r>
        <w:rPr>
          <w:color w:val="000000"/>
          <w:sz w:val="24"/>
          <w:szCs w:val="24"/>
        </w:rPr>
        <w:t xml:space="preserve"> </w:t>
      </w:r>
    </w:p>
    <w:p w14:paraId="6FA381C4" w14:textId="77777777" w:rsidR="00231B0C" w:rsidRDefault="00231B0C">
      <w:pPr>
        <w:pBdr>
          <w:top w:val="nil"/>
          <w:left w:val="nil"/>
          <w:bottom w:val="nil"/>
          <w:right w:val="nil"/>
          <w:between w:val="nil"/>
        </w:pBdr>
        <w:spacing w:line="360" w:lineRule="auto"/>
        <w:jc w:val="both"/>
        <w:rPr>
          <w:color w:val="000000"/>
          <w:sz w:val="24"/>
          <w:szCs w:val="24"/>
        </w:rPr>
      </w:pPr>
    </w:p>
    <w:p w14:paraId="6EB628B2"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xml:space="preserve">La tomografia computerizzata (TC) </w:t>
      </w:r>
    </w:p>
    <w:p w14:paraId="5D443577"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La tomografia computerizzata (TC) e la risonanza magnetica (RMN) vengono impiegate per la caratterizzazione delle masse renali. L’acquisizione delle immagini deve essere effettuata prima e dopo la somministrazione endovenosa di mezzo di contrasto (fase arteriografica e parenchimatosa) per dimostrarne la captazione. La TC addominale fornisce informazioni in merito a:</w:t>
      </w:r>
    </w:p>
    <w:p w14:paraId="1CC3F95D" w14:textId="77777777" w:rsidR="00231B0C" w:rsidRDefault="008D7880">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funzione e morfologia del rene controlaterale</w:t>
      </w:r>
    </w:p>
    <w:p w14:paraId="2542242D" w14:textId="77777777" w:rsidR="00231B0C" w:rsidRDefault="008D7880">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estensione del tumore primitivo;</w:t>
      </w:r>
    </w:p>
    <w:p w14:paraId="75729F72" w14:textId="77777777" w:rsidR="00231B0C" w:rsidRDefault="008D7880">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coinvolgimento venoso;</w:t>
      </w:r>
    </w:p>
    <w:p w14:paraId="495BD518" w14:textId="77777777" w:rsidR="00231B0C" w:rsidRDefault="008D7880">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ingrandimento dei linfonodi locoregionali;</w:t>
      </w:r>
    </w:p>
    <w:p w14:paraId="630ADD26" w14:textId="77777777" w:rsidR="00231B0C" w:rsidRDefault="008D7880">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condizione delle ghiandole surrenali e degli altri organi addominali</w:t>
      </w:r>
    </w:p>
    <w:p w14:paraId="32D2D612" w14:textId="77777777" w:rsidR="00231B0C" w:rsidRDefault="00231B0C">
      <w:pPr>
        <w:pBdr>
          <w:top w:val="nil"/>
          <w:left w:val="nil"/>
          <w:bottom w:val="nil"/>
          <w:right w:val="nil"/>
          <w:between w:val="nil"/>
        </w:pBdr>
        <w:spacing w:line="360" w:lineRule="auto"/>
        <w:jc w:val="both"/>
        <w:rPr>
          <w:color w:val="000000"/>
          <w:sz w:val="24"/>
          <w:szCs w:val="24"/>
        </w:rPr>
      </w:pPr>
    </w:p>
    <w:p w14:paraId="5D6B2D28"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La risonanza magnetica (RMN)</w:t>
      </w:r>
    </w:p>
    <w:p w14:paraId="73B02F58"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La risonanza magnetica può fornire informazioni aggiuntive riguardo l’interessamento venoso nel caso. È altresì impiegata in pazienti allergici al mezzo di contrasto della TC ed in caso di donne gravide senza insufficienza renale.</w:t>
      </w:r>
    </w:p>
    <w:p w14:paraId="49153EAD"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Biopsia Renale</w:t>
      </w:r>
    </w:p>
    <w:p w14:paraId="4F12487D"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L’esecuzione di una biopsia renale eco-guidata o TC-guidata è oggi considerata una procedura diagnostica di </w:t>
      </w:r>
      <w:r>
        <w:rPr>
          <w:i/>
          <w:color w:val="000000"/>
          <w:sz w:val="24"/>
          <w:szCs w:val="24"/>
        </w:rPr>
        <w:t xml:space="preserve">routine </w:t>
      </w:r>
      <w:r>
        <w:rPr>
          <w:color w:val="000000"/>
          <w:sz w:val="24"/>
          <w:szCs w:val="24"/>
        </w:rPr>
        <w:t>nella caratterizzazione delle masse renali di dubbia natura o non suscettibili di approccio chirurgico; il timore di un aumentato rischio di complicazioni emorragiche o di colonizzazione neoplastica lungo il tratto bioptico appartengono oramai al passato (</w:t>
      </w:r>
      <w:r>
        <w:rPr>
          <w:b/>
          <w:i/>
          <w:color w:val="000000"/>
          <w:sz w:val="24"/>
          <w:szCs w:val="24"/>
        </w:rPr>
        <w:t>vedi flow chart</w:t>
      </w:r>
      <w:r>
        <w:rPr>
          <w:color w:val="000000"/>
          <w:sz w:val="24"/>
          <w:szCs w:val="24"/>
        </w:rPr>
        <w:t>).</w:t>
      </w:r>
    </w:p>
    <w:p w14:paraId="0B73D4DB" w14:textId="77777777" w:rsidR="00231B0C" w:rsidRDefault="00231B0C">
      <w:pPr>
        <w:pBdr>
          <w:top w:val="nil"/>
          <w:left w:val="nil"/>
          <w:bottom w:val="nil"/>
          <w:right w:val="nil"/>
          <w:between w:val="nil"/>
        </w:pBdr>
        <w:spacing w:line="360" w:lineRule="auto"/>
        <w:jc w:val="both"/>
        <w:rPr>
          <w:color w:val="000000"/>
          <w:sz w:val="24"/>
          <w:szCs w:val="24"/>
        </w:rPr>
      </w:pPr>
    </w:p>
    <w:p w14:paraId="75B9892E" w14:textId="77777777" w:rsidR="00231B0C" w:rsidRDefault="00231B0C">
      <w:pPr>
        <w:pBdr>
          <w:top w:val="nil"/>
          <w:left w:val="nil"/>
          <w:bottom w:val="nil"/>
          <w:right w:val="nil"/>
          <w:between w:val="nil"/>
        </w:pBdr>
        <w:spacing w:line="360" w:lineRule="auto"/>
        <w:jc w:val="both"/>
        <w:rPr>
          <w:color w:val="000000"/>
          <w:sz w:val="24"/>
          <w:szCs w:val="24"/>
        </w:rPr>
      </w:pPr>
    </w:p>
    <w:p w14:paraId="69D0AFAE" w14:textId="77777777" w:rsidR="00231B0C" w:rsidRDefault="00231B0C">
      <w:pPr>
        <w:pBdr>
          <w:top w:val="nil"/>
          <w:left w:val="nil"/>
          <w:bottom w:val="nil"/>
          <w:right w:val="nil"/>
          <w:between w:val="nil"/>
        </w:pBdr>
        <w:spacing w:line="360" w:lineRule="auto"/>
        <w:jc w:val="both"/>
        <w:rPr>
          <w:color w:val="000000"/>
          <w:sz w:val="24"/>
          <w:szCs w:val="24"/>
        </w:rPr>
      </w:pPr>
    </w:p>
    <w:p w14:paraId="05F09DBA" w14:textId="77777777" w:rsidR="00231B0C" w:rsidRDefault="00231B0C">
      <w:pPr>
        <w:pBdr>
          <w:top w:val="nil"/>
          <w:left w:val="nil"/>
          <w:bottom w:val="nil"/>
          <w:right w:val="nil"/>
          <w:between w:val="nil"/>
        </w:pBdr>
        <w:spacing w:line="360" w:lineRule="auto"/>
        <w:jc w:val="both"/>
        <w:rPr>
          <w:color w:val="000000"/>
          <w:sz w:val="24"/>
          <w:szCs w:val="24"/>
        </w:rPr>
      </w:pPr>
    </w:p>
    <w:p w14:paraId="7ADF912E" w14:textId="77777777" w:rsidR="00231B0C" w:rsidRDefault="00231B0C">
      <w:pPr>
        <w:pBdr>
          <w:top w:val="nil"/>
          <w:left w:val="nil"/>
          <w:bottom w:val="nil"/>
          <w:right w:val="nil"/>
          <w:between w:val="nil"/>
        </w:pBdr>
        <w:spacing w:line="360" w:lineRule="auto"/>
        <w:jc w:val="both"/>
        <w:rPr>
          <w:color w:val="000000"/>
          <w:sz w:val="24"/>
          <w:szCs w:val="24"/>
        </w:rPr>
      </w:pPr>
    </w:p>
    <w:p w14:paraId="6DD17CC8" w14:textId="77777777" w:rsidR="00231B0C" w:rsidRDefault="00231B0C">
      <w:pPr>
        <w:pBdr>
          <w:top w:val="nil"/>
          <w:left w:val="nil"/>
          <w:bottom w:val="nil"/>
          <w:right w:val="nil"/>
          <w:between w:val="nil"/>
        </w:pBdr>
        <w:spacing w:line="360" w:lineRule="auto"/>
        <w:jc w:val="both"/>
        <w:rPr>
          <w:color w:val="000000"/>
          <w:sz w:val="24"/>
          <w:szCs w:val="24"/>
        </w:rPr>
      </w:pPr>
    </w:p>
    <w:p w14:paraId="18ACF43A" w14:textId="77777777" w:rsidR="00231B0C" w:rsidRDefault="00231B0C">
      <w:pPr>
        <w:pBdr>
          <w:top w:val="nil"/>
          <w:left w:val="nil"/>
          <w:bottom w:val="nil"/>
          <w:right w:val="nil"/>
          <w:between w:val="nil"/>
        </w:pBdr>
        <w:spacing w:line="360" w:lineRule="auto"/>
        <w:jc w:val="both"/>
        <w:rPr>
          <w:color w:val="000000"/>
          <w:sz w:val="24"/>
          <w:szCs w:val="24"/>
        </w:rPr>
      </w:pPr>
    </w:p>
    <w:p w14:paraId="3E221A61" w14:textId="77777777" w:rsidR="00231B0C" w:rsidRDefault="00231B0C">
      <w:pPr>
        <w:pBdr>
          <w:top w:val="nil"/>
          <w:left w:val="nil"/>
          <w:bottom w:val="nil"/>
          <w:right w:val="nil"/>
          <w:between w:val="nil"/>
        </w:pBdr>
        <w:spacing w:line="360" w:lineRule="auto"/>
        <w:jc w:val="both"/>
        <w:rPr>
          <w:color w:val="000000"/>
          <w:sz w:val="24"/>
          <w:szCs w:val="24"/>
        </w:rPr>
      </w:pPr>
    </w:p>
    <w:p w14:paraId="3D5AD5C1" w14:textId="77777777" w:rsidR="00231B0C" w:rsidRDefault="00231B0C">
      <w:pPr>
        <w:pBdr>
          <w:top w:val="nil"/>
          <w:left w:val="nil"/>
          <w:bottom w:val="nil"/>
          <w:right w:val="nil"/>
          <w:between w:val="nil"/>
        </w:pBdr>
        <w:spacing w:line="360" w:lineRule="auto"/>
        <w:jc w:val="both"/>
        <w:rPr>
          <w:color w:val="000000"/>
          <w:sz w:val="24"/>
          <w:szCs w:val="24"/>
        </w:rPr>
      </w:pPr>
    </w:p>
    <w:p w14:paraId="60C710C6" w14:textId="77777777" w:rsidR="00231B0C" w:rsidRDefault="00231B0C">
      <w:pPr>
        <w:pBdr>
          <w:top w:val="nil"/>
          <w:left w:val="nil"/>
          <w:bottom w:val="nil"/>
          <w:right w:val="nil"/>
          <w:between w:val="nil"/>
        </w:pBdr>
        <w:spacing w:line="360" w:lineRule="auto"/>
        <w:jc w:val="both"/>
        <w:rPr>
          <w:color w:val="000000"/>
          <w:sz w:val="24"/>
          <w:szCs w:val="24"/>
        </w:rPr>
      </w:pPr>
    </w:p>
    <w:p w14:paraId="4FDB5698" w14:textId="77777777" w:rsidR="00231B0C" w:rsidRDefault="00231B0C">
      <w:pPr>
        <w:pBdr>
          <w:top w:val="nil"/>
          <w:left w:val="nil"/>
          <w:bottom w:val="nil"/>
          <w:right w:val="nil"/>
          <w:between w:val="nil"/>
        </w:pBdr>
        <w:spacing w:line="360" w:lineRule="auto"/>
        <w:jc w:val="both"/>
        <w:rPr>
          <w:color w:val="000000"/>
          <w:sz w:val="24"/>
          <w:szCs w:val="24"/>
        </w:rPr>
      </w:pPr>
    </w:p>
    <w:p w14:paraId="2FE7B295" w14:textId="77777777" w:rsidR="00A658B1" w:rsidRDefault="00A658B1">
      <w:pPr>
        <w:pBdr>
          <w:top w:val="nil"/>
          <w:left w:val="nil"/>
          <w:bottom w:val="nil"/>
          <w:right w:val="nil"/>
          <w:between w:val="nil"/>
        </w:pBdr>
        <w:spacing w:line="360" w:lineRule="auto"/>
        <w:jc w:val="both"/>
        <w:rPr>
          <w:color w:val="000000"/>
          <w:sz w:val="24"/>
          <w:szCs w:val="24"/>
        </w:rPr>
      </w:pPr>
    </w:p>
    <w:p w14:paraId="521E42AD" w14:textId="77777777" w:rsidR="00231B0C" w:rsidRDefault="00231B0C">
      <w:pPr>
        <w:pBdr>
          <w:top w:val="nil"/>
          <w:left w:val="nil"/>
          <w:bottom w:val="nil"/>
          <w:right w:val="nil"/>
          <w:between w:val="nil"/>
        </w:pBdr>
        <w:spacing w:line="360" w:lineRule="auto"/>
        <w:jc w:val="both"/>
        <w:rPr>
          <w:color w:val="000000"/>
          <w:sz w:val="24"/>
          <w:szCs w:val="24"/>
        </w:rPr>
      </w:pPr>
    </w:p>
    <w:p w14:paraId="6DF0D896" w14:textId="4D948AEE"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DIAGNOSI</w:t>
      </w:r>
    </w:p>
    <w:p w14:paraId="4BB1E85B" w14:textId="52730207" w:rsidR="00231B0C" w:rsidRDefault="00231B0C">
      <w:pPr>
        <w:pBdr>
          <w:top w:val="nil"/>
          <w:left w:val="nil"/>
          <w:bottom w:val="nil"/>
          <w:right w:val="nil"/>
          <w:between w:val="nil"/>
        </w:pBdr>
        <w:spacing w:line="360" w:lineRule="auto"/>
        <w:jc w:val="both"/>
        <w:rPr>
          <w:color w:val="000000"/>
          <w:sz w:val="24"/>
          <w:szCs w:val="24"/>
        </w:rPr>
      </w:pPr>
    </w:p>
    <w:p w14:paraId="032BBA43" w14:textId="5DA0825D" w:rsidR="00231B0C" w:rsidRDefault="00403EF9">
      <w:pPr>
        <w:pBdr>
          <w:top w:val="nil"/>
          <w:left w:val="nil"/>
          <w:bottom w:val="nil"/>
          <w:right w:val="nil"/>
          <w:between w:val="nil"/>
        </w:pBdr>
        <w:spacing w:line="360" w:lineRule="auto"/>
        <w:jc w:val="both"/>
        <w:rPr>
          <w:color w:val="000000"/>
          <w:sz w:val="24"/>
          <w:szCs w:val="24"/>
        </w:rPr>
      </w:pPr>
      <w:r>
        <w:rPr>
          <w:noProof/>
        </w:rPr>
        <mc:AlternateContent>
          <mc:Choice Requires="wpg">
            <w:drawing>
              <wp:anchor distT="0" distB="0" distL="114300" distR="114300" simplePos="0" relativeHeight="251674624" behindDoc="0" locked="0" layoutInCell="1" allowOverlap="1" wp14:anchorId="0EE1A492" wp14:editId="45082000">
                <wp:simplePos x="0" y="0"/>
                <wp:positionH relativeFrom="column">
                  <wp:posOffset>308610</wp:posOffset>
                </wp:positionH>
                <wp:positionV relativeFrom="paragraph">
                  <wp:posOffset>263525</wp:posOffset>
                </wp:positionV>
                <wp:extent cx="4610100" cy="3409315"/>
                <wp:effectExtent l="0" t="0" r="19050" b="19685"/>
                <wp:wrapNone/>
                <wp:docPr id="1643044593" name="Gruppo 7"/>
                <wp:cNvGraphicFramePr/>
                <a:graphic xmlns:a="http://schemas.openxmlformats.org/drawingml/2006/main">
                  <a:graphicData uri="http://schemas.microsoft.com/office/word/2010/wordprocessingGroup">
                    <wpg:wgp>
                      <wpg:cNvGrpSpPr/>
                      <wpg:grpSpPr>
                        <a:xfrm>
                          <a:off x="0" y="0"/>
                          <a:ext cx="4610100" cy="3409315"/>
                          <a:chOff x="0" y="0"/>
                          <a:chExt cx="4890763" cy="4196715"/>
                        </a:xfrm>
                      </wpg:grpSpPr>
                      <wps:wsp>
                        <wps:cNvPr id="157138300" name="Casella di testo 157138300"/>
                        <wps:cNvSpPr txBox="1"/>
                        <wps:spPr>
                          <a:xfrm>
                            <a:off x="0" y="3114675"/>
                            <a:ext cx="2261870" cy="1072515"/>
                          </a:xfrm>
                          <a:prstGeom prst="roundRect">
                            <a:avLst/>
                          </a:prstGeom>
                          <a:solidFill>
                            <a:srgbClr val="FFC000"/>
                          </a:solidFill>
                          <a:ln w="12700" cap="flat" cmpd="sng" algn="ctr">
                            <a:solidFill>
                              <a:schemeClr val="tx1"/>
                            </a:solidFill>
                            <a:miter lim="800000"/>
                            <a:headEnd/>
                            <a:tailEnd/>
                          </a:ln>
                        </wps:spPr>
                        <wps:txbx>
                          <w:txbxContent>
                            <w:p w14:paraId="516A70AC" w14:textId="77777777" w:rsidR="00403EF9" w:rsidRDefault="00403EF9" w:rsidP="00403EF9">
                              <w:pPr>
                                <w:suppressAutoHyphens/>
                                <w:spacing w:line="1" w:lineRule="atLeast"/>
                                <w:ind w:leftChars="-1" w:hangingChars="1" w:hanging="2"/>
                                <w:textDirection w:val="btLr"/>
                                <w:textAlignment w:val="top"/>
                                <w:outlineLvl w:val="0"/>
                                <w:rPr>
                                  <w:bCs/>
                                  <w:position w:val="-1"/>
                                </w:rPr>
                              </w:pPr>
                              <w:r>
                                <w:rPr>
                                  <w:bCs/>
                                  <w:position w:val="-1"/>
                                </w:rPr>
                                <w:t>P</w:t>
                              </w:r>
                              <w:r w:rsidRPr="12328040" w:rsidDel="FFFFFFFF">
                                <w:rPr>
                                  <w:bCs/>
                                  <w:position w:val="-1"/>
                                </w:rPr>
                                <w:t xml:space="preserve">aziente inoperabile </w:t>
                              </w:r>
                              <w:r>
                                <w:rPr>
                                  <w:bCs/>
                                  <w:position w:val="-1"/>
                                </w:rPr>
                                <w:t xml:space="preserve">(per stadio, </w:t>
                              </w:r>
                              <w:r w:rsidRPr="12328040" w:rsidDel="FFFFFFFF">
                                <w:rPr>
                                  <w:bCs/>
                                  <w:position w:val="-1"/>
                                </w:rPr>
                                <w:t xml:space="preserve">comorbidità </w:t>
                              </w:r>
                              <w:r>
                                <w:rPr>
                                  <w:bCs/>
                                  <w:position w:val="-1"/>
                                </w:rPr>
                                <w:t xml:space="preserve">o </w:t>
                              </w:r>
                              <w:r w:rsidRPr="12328040" w:rsidDel="FFFFFFFF">
                                <w:rPr>
                                  <w:bCs/>
                                  <w:position w:val="-1"/>
                                </w:rPr>
                                <w:t>scarso PS</w:t>
                              </w:r>
                              <w:r>
                                <w:rPr>
                                  <w:bCs/>
                                  <w:position w:val="-1"/>
                                </w:rPr>
                                <w:t>):</w:t>
                              </w:r>
                            </w:p>
                            <w:p w14:paraId="7B715B1C" w14:textId="77777777" w:rsidR="00403EF9" w:rsidRPr="000003CF" w:rsidRDefault="00403EF9" w:rsidP="00403EF9">
                              <w:pPr>
                                <w:pStyle w:val="Paragrafoelenco"/>
                                <w:numPr>
                                  <w:ilvl w:val="0"/>
                                  <w:numId w:val="13"/>
                                </w:numPr>
                                <w:suppressAutoHyphens/>
                                <w:spacing w:line="1" w:lineRule="atLeast"/>
                                <w:textDirection w:val="btLr"/>
                                <w:textAlignment w:val="top"/>
                                <w:outlineLvl w:val="0"/>
                                <w:rPr>
                                  <w:b/>
                                  <w:position w:val="-1"/>
                                </w:rPr>
                              </w:pPr>
                              <w:r w:rsidRPr="000003CF" w:rsidDel="FFFFFFFF">
                                <w:rPr>
                                  <w:b/>
                                  <w:position w:val="-1"/>
                                </w:rPr>
                                <w:t>Biopsia renale</w:t>
                              </w:r>
                            </w:p>
                            <w:p w14:paraId="46C13F34" w14:textId="77777777" w:rsidR="00403EF9" w:rsidRDefault="00403EF9" w:rsidP="00403EF9">
                              <w:pPr>
                                <w:suppressAutoHyphens/>
                                <w:spacing w:line="1" w:lineRule="atLeast"/>
                                <w:ind w:leftChars="-1" w:hangingChars="1" w:hanging="2"/>
                                <w:textDirection w:val="btLr"/>
                                <w:textAlignment w:val="top"/>
                                <w:outlineLvl w:val="0"/>
                                <w:rPr>
                                  <w:position w:val="-1"/>
                                </w:rPr>
                              </w:pPr>
                            </w:p>
                            <w:p w14:paraId="7EA27572" w14:textId="77777777" w:rsidR="00403EF9" w:rsidRDefault="00403EF9" w:rsidP="00403EF9">
                              <w:pPr>
                                <w:suppressAutoHyphens/>
                                <w:spacing w:line="1" w:lineRule="atLeast"/>
                                <w:ind w:leftChars="-1" w:hangingChars="1" w:hanging="2"/>
                                <w:textDirection w:val="btLr"/>
                                <w:textAlignment w:val="top"/>
                                <w:outlineLvl w:val="0"/>
                                <w:rPr>
                                  <w:position w:val="-1"/>
                                </w:rPr>
                              </w:pPr>
                              <w:r w:rsidRPr="FFFFFFFF" w:rsidDel="FFFFFFFF">
                                <w:rPr>
                                  <w:bCs/>
                                  <w:position w:val="-1"/>
                                </w:rPr>
                                <w:t xml:space="preserve">- </w:t>
                              </w:r>
                              <w:r w:rsidRPr="12328040" w:rsidDel="FFFFFFFF">
                                <w:rPr>
                                  <w:bCs/>
                                  <w:position w:val="-1"/>
                                </w:rPr>
                                <w:t>alto carico di malattia metastatica</w:t>
                              </w:r>
                              <w:r w:rsidRPr="FFFFFFFF" w:rsidDel="FFFFFFFF">
                                <w:rPr>
                                  <w:bCs/>
                                  <w:position w:val="-1"/>
                                </w:rPr>
                                <w:t>)</w:t>
                              </w:r>
                            </w:p>
                            <w:p w14:paraId="39808229"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wps:txbx>
                        <wps:bodyPr/>
                      </wps:wsp>
                      <wpg:grpSp>
                        <wpg:cNvPr id="701096692" name="Gruppo 6"/>
                        <wpg:cNvGrpSpPr/>
                        <wpg:grpSpPr>
                          <a:xfrm>
                            <a:off x="4763" y="0"/>
                            <a:ext cx="4886000" cy="4196715"/>
                            <a:chOff x="314332" y="0"/>
                            <a:chExt cx="4886000" cy="4196715"/>
                          </a:xfrm>
                        </wpg:grpSpPr>
                        <wpg:grpSp>
                          <wpg:cNvPr id="1462744424" name="Gruppo 5"/>
                          <wpg:cNvGrpSpPr/>
                          <wpg:grpSpPr>
                            <a:xfrm>
                              <a:off x="314332" y="0"/>
                              <a:ext cx="3916673" cy="3105150"/>
                              <a:chOff x="314344" y="0"/>
                              <a:chExt cx="3916873" cy="3105150"/>
                            </a:xfrm>
                          </wpg:grpSpPr>
                          <wps:wsp>
                            <wps:cNvPr id="608587552" name="Casella di testo 608587552"/>
                            <wps:cNvSpPr txBox="1"/>
                            <wps:spPr>
                              <a:xfrm>
                                <a:off x="314344" y="1895479"/>
                                <a:ext cx="1143000" cy="551106"/>
                              </a:xfrm>
                              <a:prstGeom prst="rightArrow">
                                <a:avLst/>
                              </a:prstGeom>
                              <a:solidFill>
                                <a:srgbClr val="FFC000"/>
                              </a:solidFill>
                              <a:ln w="12700" cap="flat" cmpd="sng" algn="ctr">
                                <a:solidFill>
                                  <a:schemeClr val="tx1"/>
                                </a:solidFill>
                                <a:miter lim="800000"/>
                                <a:headEnd/>
                                <a:tailEnd/>
                              </a:ln>
                            </wps:spPr>
                            <wps:txbx>
                              <w:txbxContent>
                                <w:p w14:paraId="120E4087" w14:textId="77777777" w:rsidR="00403EF9" w:rsidRPr="000003CF" w:rsidRDefault="00403EF9" w:rsidP="00403EF9">
                                  <w:pPr>
                                    <w:suppressAutoHyphens/>
                                    <w:spacing w:line="1" w:lineRule="atLeast"/>
                                    <w:ind w:leftChars="-1" w:hangingChars="1" w:hanging="2"/>
                                    <w:textDirection w:val="btLr"/>
                                    <w:textAlignment w:val="top"/>
                                    <w:outlineLvl w:val="0"/>
                                    <w:rPr>
                                      <w:b/>
                                      <w:bCs/>
                                      <w:position w:val="-1"/>
                                      <w:sz w:val="18"/>
                                      <w:szCs w:val="18"/>
                                    </w:rPr>
                                  </w:pPr>
                                  <w:r w:rsidRPr="000003CF" w:rsidDel="FFFFFFFF">
                                    <w:rPr>
                                      <w:b/>
                                      <w:bCs/>
                                      <w:position w:val="-1"/>
                                      <w:sz w:val="18"/>
                                      <w:szCs w:val="18"/>
                                    </w:rPr>
                                    <w:t xml:space="preserve">    STANDARD </w:t>
                                  </w:r>
                                  <w:r>
                                    <w:rPr>
                                      <w:b/>
                                      <w:bCs/>
                                      <w:position w:val="-1"/>
                                      <w:sz w:val="18"/>
                                      <w:szCs w:val="18"/>
                                    </w:rPr>
                                    <w:t>diagnostico</w:t>
                                  </w:r>
                                  <w:r w:rsidRPr="000003CF" w:rsidDel="FFFFFFFF">
                                    <w:rPr>
                                      <w:b/>
                                      <w:bCs/>
                                      <w:position w:val="-1"/>
                                      <w:sz w:val="18"/>
                                      <w:szCs w:val="18"/>
                                    </w:rPr>
                                    <w:t xml:space="preserve">     </w:t>
                                  </w:r>
                                </w:p>
                                <w:p w14:paraId="47CE4885"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wps:txbx>
                            <wps:bodyPr/>
                          </wps:wsp>
                          <wpg:grpSp>
                            <wpg:cNvPr id="867486623" name="Gruppo 4"/>
                            <wpg:cNvGrpSpPr/>
                            <wpg:grpSpPr>
                              <a:xfrm>
                                <a:off x="1352550" y="0"/>
                                <a:ext cx="2878667" cy="3105150"/>
                                <a:chOff x="0" y="0"/>
                                <a:chExt cx="2878667" cy="3105150"/>
                              </a:xfrm>
                            </wpg:grpSpPr>
                            <wpg:grpSp>
                              <wpg:cNvPr id="851474323" name="Gruppo 3"/>
                              <wpg:cNvGrpSpPr/>
                              <wpg:grpSpPr>
                                <a:xfrm>
                                  <a:off x="0" y="0"/>
                                  <a:ext cx="2878667" cy="2539576"/>
                                  <a:chOff x="0" y="0"/>
                                  <a:chExt cx="2878667" cy="2539576"/>
                                </a:xfrm>
                              </wpg:grpSpPr>
                              <wps:wsp>
                                <wps:cNvPr id="1311646473" name="Casella di testo 1311646473"/>
                                <wps:cNvSpPr txBox="1"/>
                                <wps:spPr>
                                  <a:xfrm>
                                    <a:off x="0" y="0"/>
                                    <a:ext cx="2878667" cy="1176866"/>
                                  </a:xfrm>
                                  <a:prstGeom prst="roundRect">
                                    <a:avLst/>
                                  </a:prstGeom>
                                  <a:solidFill>
                                    <a:srgbClr val="FFC000"/>
                                  </a:solidFill>
                                  <a:ln w="12700" cap="flat" cmpd="sng" algn="ctr">
                                    <a:solidFill>
                                      <a:schemeClr val="tx1"/>
                                    </a:solidFill>
                                    <a:miter lim="800000"/>
                                    <a:headEnd/>
                                    <a:tailEnd/>
                                  </a:ln>
                                </wps:spPr>
                                <wps:txbx>
                                  <w:txbxContent>
                                    <w:p w14:paraId="4FC0E91D" w14:textId="77777777" w:rsidR="00403EF9" w:rsidRDefault="00403EF9" w:rsidP="00403EF9">
                                      <w:pPr>
                                        <w:suppressAutoHyphens/>
                                        <w:spacing w:line="1" w:lineRule="atLeast"/>
                                        <w:ind w:leftChars="-1" w:hangingChars="1" w:hanging="2"/>
                                        <w:jc w:val="center"/>
                                        <w:textDirection w:val="btLr"/>
                                        <w:textAlignment w:val="top"/>
                                        <w:outlineLvl w:val="0"/>
                                        <w:rPr>
                                          <w:position w:val="-1"/>
                                        </w:rPr>
                                      </w:pPr>
                                      <w:r w:rsidRPr="FFFFFFFF" w:rsidDel="FFFFFFFF">
                                        <w:rPr>
                                          <w:position w:val="-1"/>
                                        </w:rPr>
                                        <w:t>Sospetto tumore renale</w:t>
                                      </w:r>
                                      <w:r>
                                        <w:rPr>
                                          <w:position w:val="-1"/>
                                        </w:rPr>
                                        <w:t xml:space="preserve"> in imaging con MdC:</w:t>
                                      </w:r>
                                    </w:p>
                                    <w:p w14:paraId="36BBCC5C" w14:textId="77777777" w:rsidR="00403EF9" w:rsidRDefault="00403EF9" w:rsidP="00403EF9">
                                      <w:pPr>
                                        <w:suppressAutoHyphens/>
                                        <w:spacing w:line="1" w:lineRule="atLeast"/>
                                        <w:ind w:leftChars="-1" w:hangingChars="1" w:hanging="2"/>
                                        <w:jc w:val="center"/>
                                        <w:textDirection w:val="btLr"/>
                                        <w:textAlignment w:val="top"/>
                                        <w:outlineLvl w:val="0"/>
                                        <w:rPr>
                                          <w:position w:val="-1"/>
                                        </w:rPr>
                                      </w:pPr>
                                      <w:r>
                                        <w:rPr>
                                          <w:position w:val="-1"/>
                                        </w:rPr>
                                        <w:t>L</w:t>
                                      </w:r>
                                      <w:r w:rsidRPr="FFFFFFFF" w:rsidDel="FFFFFFFF">
                                        <w:rPr>
                                          <w:position w:val="-1"/>
                                        </w:rPr>
                                        <w:t xml:space="preserve">esione renale </w:t>
                                      </w:r>
                                      <w:r>
                                        <w:rPr>
                                          <w:position w:val="-1"/>
                                        </w:rPr>
                                        <w:t>(</w:t>
                                      </w:r>
                                      <w:r w:rsidRPr="FFFFFFFF" w:rsidDel="FFFFFFFF">
                                        <w:rPr>
                                          <w:position w:val="-1"/>
                                        </w:rPr>
                                        <w:t>solida o cistica complessa</w:t>
                                      </w:r>
                                      <w:r>
                                        <w:rPr>
                                          <w:position w:val="-1"/>
                                        </w:rPr>
                                        <w:t>) all’</w:t>
                                      </w:r>
                                      <w:r w:rsidRPr="FFFFFFFF" w:rsidDel="FFFFFFFF">
                                        <w:rPr>
                                          <w:position w:val="-1"/>
                                        </w:rPr>
                                        <w:t>ecografia</w:t>
                                      </w:r>
                                      <w:r>
                                        <w:rPr>
                                          <w:position w:val="-1"/>
                                        </w:rPr>
                                        <w:t xml:space="preserve"> </w:t>
                                      </w:r>
                                    </w:p>
                                    <w:p w14:paraId="5D9BC28E"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wps:txbx>
                                <wps:bodyPr wrap="square">
                                  <a:noAutofit/>
                                </wps:bodyPr>
                              </wps:wsp>
                              <wps:wsp>
                                <wps:cNvPr id="808448740" name="Casella di testo 808448740"/>
                                <wps:cNvSpPr txBox="1"/>
                                <wps:spPr>
                                  <a:xfrm>
                                    <a:off x="245534" y="1761066"/>
                                    <a:ext cx="2407285" cy="778510"/>
                                  </a:xfrm>
                                  <a:prstGeom prst="roundRect">
                                    <a:avLst/>
                                  </a:prstGeom>
                                  <a:solidFill>
                                    <a:srgbClr val="FFC000"/>
                                  </a:solidFill>
                                  <a:ln w="12700" cap="flat" cmpd="sng" algn="ctr">
                                    <a:solidFill>
                                      <a:schemeClr val="tx1"/>
                                    </a:solidFill>
                                    <a:miter lim="800000"/>
                                    <a:headEnd/>
                                    <a:tailEnd/>
                                  </a:ln>
                                </wps:spPr>
                                <wps:txbx>
                                  <w:txbxContent>
                                    <w:p w14:paraId="3B83B952" w14:textId="77777777" w:rsidR="00403EF9" w:rsidRDefault="00403EF9" w:rsidP="00403EF9">
                                      <w:pPr>
                                        <w:numPr>
                                          <w:ilvl w:val="0"/>
                                          <w:numId w:val="5"/>
                                        </w:numPr>
                                        <w:suppressAutoHyphens/>
                                        <w:spacing w:line="1" w:lineRule="atLeast"/>
                                        <w:ind w:leftChars="-1" w:left="0" w:hangingChars="1" w:hanging="2"/>
                                        <w:textDirection w:val="btLr"/>
                                        <w:textAlignment w:val="top"/>
                                        <w:outlineLvl w:val="0"/>
                                        <w:rPr>
                                          <w:position w:val="-1"/>
                                        </w:rPr>
                                      </w:pPr>
                                      <w:r w:rsidRPr="15038102" w:rsidDel="FFFFFFFF">
                                        <w:rPr>
                                          <w:bCs/>
                                          <w:position w:val="-1"/>
                                        </w:rPr>
                                        <w:t>Ecografia con m.d.c. (CEUS)</w:t>
                                      </w:r>
                                    </w:p>
                                    <w:p w14:paraId="476962AB" w14:textId="77777777" w:rsidR="00403EF9" w:rsidRDefault="00403EF9" w:rsidP="00403EF9">
                                      <w:pPr>
                                        <w:numPr>
                                          <w:ilvl w:val="0"/>
                                          <w:numId w:val="5"/>
                                        </w:numPr>
                                        <w:suppressAutoHyphens/>
                                        <w:spacing w:line="1" w:lineRule="atLeast"/>
                                        <w:ind w:leftChars="-1" w:left="0" w:hangingChars="1" w:hanging="2"/>
                                        <w:textDirection w:val="btLr"/>
                                        <w:textAlignment w:val="top"/>
                                        <w:outlineLvl w:val="0"/>
                                        <w:rPr>
                                          <w:position w:val="-1"/>
                                        </w:rPr>
                                      </w:pPr>
                                      <w:r w:rsidRPr="07480598" w:rsidDel="FFFFFFFF">
                                        <w:rPr>
                                          <w:bCs/>
                                          <w:position w:val="-1"/>
                                        </w:rPr>
                                        <w:t>TAC addome con m.d.c</w:t>
                                      </w:r>
                                    </w:p>
                                    <w:p w14:paraId="30FB18D5" w14:textId="77777777" w:rsidR="00403EF9" w:rsidRDefault="00403EF9" w:rsidP="00403EF9">
                                      <w:pPr>
                                        <w:suppressAutoHyphens/>
                                        <w:spacing w:line="1" w:lineRule="atLeast"/>
                                        <w:ind w:leftChars="-1" w:hangingChars="1" w:hanging="2"/>
                                        <w:textDirection w:val="btLr"/>
                                        <w:textAlignment w:val="top"/>
                                        <w:outlineLvl w:val="0"/>
                                        <w:rPr>
                                          <w:position w:val="-1"/>
                                        </w:rPr>
                                      </w:pPr>
                                      <w:r w:rsidRPr="FFFFFFFF" w:rsidDel="FFFFFFFF">
                                        <w:rPr>
                                          <w:bCs/>
                                          <w:position w:val="-1"/>
                                        </w:rPr>
                                        <w:t>(eventuale RMN)</w:t>
                                      </w:r>
                                    </w:p>
                                    <w:p w14:paraId="2BF46DA2" w14:textId="77777777" w:rsidR="00403EF9" w:rsidRDefault="00403EF9" w:rsidP="00403EF9">
                                      <w:pPr>
                                        <w:suppressAutoHyphens/>
                                        <w:spacing w:line="1" w:lineRule="atLeast"/>
                                        <w:ind w:leftChars="-1" w:hangingChars="1" w:hanging="2"/>
                                        <w:textDirection w:val="btLr"/>
                                        <w:textAlignment w:val="top"/>
                                        <w:outlineLvl w:val="0"/>
                                        <w:rPr>
                                          <w:position w:val="-1"/>
                                        </w:rPr>
                                      </w:pPr>
                                    </w:p>
                                    <w:p w14:paraId="5B1EB9EA"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wps:txbx>
                                <wps:bodyPr wrap="square">
                                  <a:noAutofit/>
                                </wps:bodyPr>
                              </wps:wsp>
                              <wps:wsp>
                                <wps:cNvPr id="1491893936" name="Connettore 2 2"/>
                                <wps:cNvCnPr/>
                                <wps:spPr>
                                  <a:xfrm>
                                    <a:off x="1439228" y="1176768"/>
                                    <a:ext cx="0" cy="533357"/>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1995435326" name="Connettore 2 2"/>
                              <wps:cNvCnPr/>
                              <wps:spPr>
                                <a:xfrm flipH="1">
                                  <a:off x="709612" y="2547937"/>
                                  <a:ext cx="238125" cy="551815"/>
                                </a:xfrm>
                                <a:prstGeom prst="straightConnector1">
                                  <a:avLst/>
                                </a:prstGeom>
                                <a:noFill/>
                                <a:ln w="19050" cap="flat" cmpd="sng" algn="ctr">
                                  <a:solidFill>
                                    <a:sysClr val="windowText" lastClr="000000"/>
                                  </a:solidFill>
                                  <a:prstDash val="solid"/>
                                  <a:miter lim="800000"/>
                                  <a:tailEnd type="triangle"/>
                                </a:ln>
                                <a:effectLst/>
                              </wps:spPr>
                              <wps:bodyPr/>
                            </wps:wsp>
                            <wps:wsp>
                              <wps:cNvPr id="1392047947" name="Connettore 2 2"/>
                              <wps:cNvCnPr/>
                              <wps:spPr>
                                <a:xfrm>
                                  <a:off x="2128663" y="2538152"/>
                                  <a:ext cx="276399" cy="566998"/>
                                </a:xfrm>
                                <a:prstGeom prst="straightConnector1">
                                  <a:avLst/>
                                </a:prstGeom>
                                <a:noFill/>
                                <a:ln w="19050" cap="flat" cmpd="sng" algn="ctr">
                                  <a:solidFill>
                                    <a:sysClr val="windowText" lastClr="000000"/>
                                  </a:solidFill>
                                  <a:prstDash val="solid"/>
                                  <a:miter lim="800000"/>
                                  <a:tailEnd type="triangle"/>
                                </a:ln>
                                <a:effectLst/>
                              </wps:spPr>
                              <wps:bodyPr/>
                            </wps:wsp>
                          </wpg:grpSp>
                        </wpg:grpSp>
                        <wps:wsp>
                          <wps:cNvPr id="2037763083" name="Casella di testo 2037763083"/>
                          <wps:cNvSpPr txBox="1"/>
                          <wps:spPr>
                            <a:xfrm>
                              <a:off x="2938462" y="3124200"/>
                              <a:ext cx="2261870" cy="1072515"/>
                            </a:xfrm>
                            <a:prstGeom prst="roundRect">
                              <a:avLst/>
                            </a:prstGeom>
                            <a:solidFill>
                              <a:srgbClr val="FFC000"/>
                            </a:solidFill>
                            <a:ln w="12700" cap="flat" cmpd="sng" algn="ctr">
                              <a:solidFill>
                                <a:schemeClr val="tx1"/>
                              </a:solidFill>
                              <a:miter lim="800000"/>
                              <a:headEnd/>
                              <a:tailEnd/>
                            </a:ln>
                          </wps:spPr>
                          <wps:txbx>
                            <w:txbxContent>
                              <w:p w14:paraId="44CF2C96" w14:textId="77777777" w:rsidR="00403EF9" w:rsidRPr="000003CF" w:rsidRDefault="00403EF9" w:rsidP="00403EF9">
                                <w:pPr>
                                  <w:suppressAutoHyphens/>
                                  <w:spacing w:after="160" w:line="1" w:lineRule="atLeast"/>
                                  <w:ind w:leftChars="-1" w:hangingChars="1" w:hanging="2"/>
                                  <w:textDirection w:val="btLr"/>
                                  <w:textAlignment w:val="top"/>
                                  <w:outlineLvl w:val="0"/>
                                  <w:rPr>
                                    <w:bCs/>
                                    <w:position w:val="-1"/>
                                  </w:rPr>
                                </w:pPr>
                                <w:r w:rsidRPr="000003CF">
                                  <w:rPr>
                                    <w:bCs/>
                                    <w:position w:val="-1"/>
                                  </w:rPr>
                                  <w:t>Paziente operabile (</w:t>
                                </w:r>
                                <w:r w:rsidRPr="000003CF" w:rsidDel="FFFFFFFF">
                                  <w:rPr>
                                    <w:bCs/>
                                    <w:position w:val="-1"/>
                                  </w:rPr>
                                  <w:t>malattia localizzata</w:t>
                                </w:r>
                                <w:r w:rsidRPr="000003CF">
                                  <w:rPr>
                                    <w:bCs/>
                                    <w:position w:val="-1"/>
                                  </w:rPr>
                                  <w:t xml:space="preserve"> o m</w:t>
                                </w:r>
                                <w:r w:rsidRPr="000003CF" w:rsidDel="FFFFFFFF">
                                  <w:rPr>
                                    <w:bCs/>
                                    <w:position w:val="-1"/>
                                  </w:rPr>
                                  <w:t xml:space="preserve">etastatica </w:t>
                                </w:r>
                                <w:r w:rsidRPr="000003CF">
                                  <w:rPr>
                                    <w:bCs/>
                                    <w:position w:val="-1"/>
                                  </w:rPr>
                                  <w:t>radicalmente</w:t>
                                </w:r>
                                <w:r w:rsidRPr="000003CF" w:rsidDel="FFFFFFFF">
                                  <w:rPr>
                                    <w:bCs/>
                                    <w:position w:val="-1"/>
                                  </w:rPr>
                                  <w:t xml:space="preserve"> operabile</w:t>
                                </w:r>
                                <w:r w:rsidRPr="000003CF">
                                  <w:rPr>
                                    <w:bCs/>
                                    <w:position w:val="-1"/>
                                  </w:rPr>
                                  <w:t>)</w:t>
                                </w:r>
                              </w:p>
                              <w:p w14:paraId="5AEE4384" w14:textId="77777777" w:rsidR="00360170" w:rsidRPr="000003CF" w:rsidRDefault="00403EF9" w:rsidP="00403EF9">
                                <w:pPr>
                                  <w:numPr>
                                    <w:ilvl w:val="0"/>
                                    <w:numId w:val="14"/>
                                  </w:numPr>
                                  <w:suppressAutoHyphens/>
                                  <w:spacing w:after="160" w:line="1" w:lineRule="atLeast"/>
                                  <w:ind w:leftChars="-1" w:left="0" w:hangingChars="1" w:hanging="2"/>
                                  <w:textDirection w:val="btLr"/>
                                  <w:textAlignment w:val="top"/>
                                  <w:outlineLvl w:val="0"/>
                                  <w:rPr>
                                    <w:b/>
                                    <w:bCs/>
                                    <w:position w:val="-1"/>
                                  </w:rPr>
                                </w:pPr>
                                <w:r w:rsidRPr="000003CF">
                                  <w:rPr>
                                    <w:b/>
                                    <w:bCs/>
                                    <w:position w:val="-1"/>
                                  </w:rPr>
                                  <w:t>Chirurgia</w:t>
                                </w:r>
                              </w:p>
                              <w:p w14:paraId="01A114AB" w14:textId="77777777" w:rsidR="00403EF9" w:rsidRDefault="00403EF9" w:rsidP="00403EF9">
                                <w:pPr>
                                  <w:suppressAutoHyphens/>
                                  <w:spacing w:line="1" w:lineRule="atLeast"/>
                                  <w:ind w:leftChars="-1" w:hangingChars="1" w:hanging="2"/>
                                  <w:textDirection w:val="btLr"/>
                                  <w:textAlignment w:val="top"/>
                                  <w:outlineLvl w:val="0"/>
                                  <w:rPr>
                                    <w:position w:val="-1"/>
                                  </w:rPr>
                                </w:pPr>
                              </w:p>
                              <w:p w14:paraId="1BA2A550" w14:textId="77777777" w:rsidR="00403EF9" w:rsidRDefault="00403EF9" w:rsidP="00403EF9">
                                <w:pPr>
                                  <w:suppressAutoHyphens/>
                                  <w:spacing w:line="1" w:lineRule="atLeast"/>
                                  <w:ind w:leftChars="-1" w:hangingChars="1" w:hanging="2"/>
                                  <w:textDirection w:val="btLr"/>
                                  <w:textAlignment w:val="top"/>
                                  <w:outlineLvl w:val="0"/>
                                  <w:rPr>
                                    <w:position w:val="-1"/>
                                  </w:rPr>
                                </w:pPr>
                                <w:r w:rsidRPr="FFFFFFFF" w:rsidDel="FFFFFFFF">
                                  <w:rPr>
                                    <w:bCs/>
                                    <w:position w:val="-1"/>
                                  </w:rPr>
                                  <w:t xml:space="preserve">- </w:t>
                                </w:r>
                                <w:r w:rsidRPr="12328040" w:rsidDel="FFFFFFFF">
                                  <w:rPr>
                                    <w:bCs/>
                                    <w:position w:val="-1"/>
                                  </w:rPr>
                                  <w:t>alto carico di malattia metastatica</w:t>
                                </w:r>
                                <w:r w:rsidRPr="FFFFFFFF" w:rsidDel="FFFFFFFF">
                                  <w:rPr>
                                    <w:bCs/>
                                    <w:position w:val="-1"/>
                                  </w:rPr>
                                  <w:t>)</w:t>
                                </w:r>
                              </w:p>
                              <w:p w14:paraId="49ACA297"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wps:txbx>
                          <wps:bodyPr/>
                        </wps:wsp>
                      </wpg:grpSp>
                    </wpg:wgp>
                  </a:graphicData>
                </a:graphic>
                <wp14:sizeRelH relativeFrom="margin">
                  <wp14:pctWidth>0</wp14:pctWidth>
                </wp14:sizeRelH>
                <wp14:sizeRelV relativeFrom="margin">
                  <wp14:pctHeight>0</wp14:pctHeight>
                </wp14:sizeRelV>
              </wp:anchor>
            </w:drawing>
          </mc:Choice>
          <mc:Fallback>
            <w:pict>
              <v:group w14:anchorId="0EE1A492" id="Gruppo 7" o:spid="_x0000_s1026" style="position:absolute;left:0;text-align:left;margin-left:24.3pt;margin-top:20.75pt;width:363pt;height:268.45pt;z-index:251674624;mso-width-relative:margin;mso-height-relative:margin" coordsize="48907,4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YsgUAADIZAAAOAAAAZHJzL2Uyb0RvYy54bWzsWdtu4zYQfS/QfxD03li86Ip1Fttkkz4U&#10;28Xu9gMYibIFSKJKMrHz9x1SlGQ5Vrd2i6BAsw9ey+JIM8Mzh3Mm797vm9p74lJVol376CrwPd7m&#10;oqjazdr//dvdT4nvKc3agtWi5Wv/mSv//fWPP7zbdRnHYivqgksPHtKqbNet/a3WXbZaqXzLG6au&#10;RMdbuFkK2TANl3KzKiTbwdObeoWDIFrthCw6KXKuFPx629/0r+3zy5Ln+reyVFx79doH37T9lPbz&#10;wXyurt+xbCNZt61y5wa7wIuGVS28dHzULdPMe5TVi0c1VS6FEqW+ykWzEmVZ5dzGANGg4Ciaeyke&#10;OxvLJtttujFNkNqjPF382PzT02fpVQXsXURJQGmYEt9rWQN7dS8fu054sUnSrttksPZedl+7z9L9&#10;sOmvTNz7Ujbmf4jI29v0Po/p5Xvt5fAjjRDECLuQwz1Cg5SgsN+AfAu79MIu334cLJM0iCNwzFhS&#10;lEZxb7kaXrwy/o3u7DoAk5rypf5Zvr5uWcftNiiTgyFfYYxIQkw8fbpumOJ1zbyi8jRXWnhoXGHz&#10;ZY1N9jy9/1lAPlCfWJUp+HExiQQhGsUuUUMqMY5QErtUoiDG4VFCWNZJpe+5aDzzZe0DlNriC9SD&#10;hSl7+lVp8AoSOKwzDihRV8VdVdf2Qm4ebmrpPTGonbu7mwBC7U1my+rW20EsOLY7y6CGy5pp2Kqm&#10;A1SpduN7rN4AOeRa2nfPrG2h8/E1em+TAm7NVjWVBpaoq2btJ+BG7wjLtpwVH9sCnGKZZlXdfwfj&#10;uoXQDAr6zJpvev+wd9vwIIpni2G7BIDSw9vCZ0S62+UYEJtGUYqHXXZFEfV7d1ZRUAvhE3WRJJGJ&#10;6RjdLBvrgiBKCPgwGR8Wx2nzxeJwlXIcKsAMx5RSTI9itdg7kwBeOjxAl6QoimJXywQFgFxHw7No&#10;KXhxKlpjnpwwX4z2FaggCpIwicNwBMkLKphWOAwCj5xDBSadLiMoSUMapz1xDkkFjgAmchAKQ4QC&#10;C9AxKVOZD3RQbbb6g5Ri9z/mg/7cG1j4HFpIopgmUYSPz0p6AS0gEuIQauAA7sO24iSGt8TuxDxZ&#10;KzO7iRSWLEdEHJ+YC6SQhIjGlLwIlFwQ6MzVkyHikKRhbKF7QH4zu4UQDywXQ3wFJkBwWkc0ooag&#10;lrqCacllXDBLx8k0IhRHgBuzRWMyXjLAW0OwtwSA5wTg7UANQOPyxyOTputjWSs+PGpRVrZhMr1E&#10;zxSuxXD9wyuAKwkSSpOYAgAWsDWtuAxamIYh6Q9egBAcIq4UR5RRaDWTsOejOAZyGFrCof8fusnh&#10;mHkDWQ8yx5cDdv67IEM0hQ6DpCQaUSbalmstJPewNxYLNDA3rVOCQ589qLFRBkJXkmIMIwDo5Awp&#10;AS2ZYmPZACiAspF0ISEktDpzma+Ulsw0LTfGnRzcQX/VuRgFcCQi/p7UcDrC088dSGAtK9Zuau6o&#10;9ISuUPq55uZddfuFl0AoIOxwr3PMDGOSNizPeasHeWNXG7MS1NZoGHzf0K23SbTzjdG4z8dRlPO3&#10;8sHCvlm0ejRuqlY4eTZ3e1JkZb9+UFZ93BMdmsPGXFk+nLoLozJegRtRCl0xCQm+GLZeWVfdL0aV&#10;m+S4OUYM4g/1ugubrptYkE74xSRB2PEhtN3J91T4eSBuhdHitmCcyk4D0yjmZ6vsZzVKbBieFWL3&#10;DSrQ92qmNNyASY3951A+k96G0G+Z2vZjAHurL+EFTf7d+oHkWRS6AYRBx6TST/bgrwEf4KkA9pdC&#10;r+3O1stZDyMM3Rd0gMBs0JcCKCxrHqAGBgFp6qgPhgupZcV/i/reUAMDnUMCOvz+KmSEAxLDFgfJ&#10;sgo4WHJhq5aSBAY2FmQEYQrD8PnR+jYiNDx+7ojQKgKn4odmbfFks8CCwTzAbTb5P7y2UJz+1HH9&#10;JwAAAP//AwBQSwMEFAAGAAgAAAAhAF57G8jgAAAACQEAAA8AAABkcnMvZG93bnJldi54bWxMj0Fr&#10;g0AQhe+F/odlCr01q61GMa4hhLanUGhSKLlNdKISd1fcjZp/3+mpPQ0z7/Hme/l61p0YaXCtNQrC&#10;RQCCTGmr1tQKvg5vTykI59FU2FlDCm7kYF3c3+WYVXYynzTufS04xLgMFTTe95mUrmxIo1vYngxr&#10;Zzto9LwOtawGnDhcd/I5CJZSY2v4Q4M9bRsqL/urVvA+4bR5CV/H3eW8vR0P8cf3LiSlHh/mzQqE&#10;p9n/meEXn9GhYKaTvZrKiU5BlC7ZyTOMQbCeJBEfTgriJI1AFrn836D4AQAA//8DAFBLAQItABQA&#10;BgAIAAAAIQC2gziS/gAAAOEBAAATAAAAAAAAAAAAAAAAAAAAAABbQ29udGVudF9UeXBlc10ueG1s&#10;UEsBAi0AFAAGAAgAAAAhADj9If/WAAAAlAEAAAsAAAAAAAAAAAAAAAAALwEAAF9yZWxzLy5yZWxz&#10;UEsBAi0AFAAGAAgAAAAhANSD/diyBQAAMhkAAA4AAAAAAAAAAAAAAAAALgIAAGRycy9lMm9Eb2Mu&#10;eG1sUEsBAi0AFAAGAAgAAAAhAF57G8jgAAAACQEAAA8AAAAAAAAAAAAAAAAADAgAAGRycy9kb3du&#10;cmV2LnhtbFBLBQYAAAAABAAEAPMAAAAZCQAAAAA=&#10;">
                <v:roundrect id="Casella di testo 157138300" o:spid="_x0000_s1027" style="position:absolute;top:31146;width:22618;height:10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lGxQAAAOIAAAAPAAAAZHJzL2Rvd25yZXYueG1sRE9NSwMx&#10;EL0L/Q9hhN5sti7aZW1ailIRwYNVPA+b6WZ1M1mTtN3+e+cg9Ph438v16Ht1pJi6wAbmswIUcRNs&#10;x62Bz4/tTQUqZWSLfWAycKYE69Xkaom1DSd+p+Mut0pCONVowOU81FqnxpHHNAsDsXD7ED1mgbHV&#10;NuJJwn2vb4viXnvsWBocDvToqPnZHbwB/fX69BZLt//1VC3i+Zm+uTwYM70eNw+gMo35Iv53v1iZ&#10;f7eYl1VZyAm5JBj06g8AAP//AwBQSwECLQAUAAYACAAAACEA2+H2y+4AAACFAQAAEwAAAAAAAAAA&#10;AAAAAAAAAAAAW0NvbnRlbnRfVHlwZXNdLnhtbFBLAQItABQABgAIAAAAIQBa9CxbvwAAABUBAAAL&#10;AAAAAAAAAAAAAAAAAB8BAABfcmVscy8ucmVsc1BLAQItABQABgAIAAAAIQAA3RlGxQAAAOIAAAAP&#10;AAAAAAAAAAAAAAAAAAcCAABkcnMvZG93bnJldi54bWxQSwUGAAAAAAMAAwC3AAAA+QIAAAAA&#10;" fillcolor="#ffc000" strokecolor="black [3213]" strokeweight="1pt">
                  <v:stroke joinstyle="miter"/>
                  <v:textbox>
                    <w:txbxContent>
                      <w:p w14:paraId="516A70AC" w14:textId="77777777" w:rsidR="00403EF9" w:rsidRDefault="00403EF9" w:rsidP="00403EF9">
                        <w:pPr>
                          <w:suppressAutoHyphens/>
                          <w:spacing w:line="1" w:lineRule="atLeast"/>
                          <w:ind w:leftChars="-1" w:hangingChars="1" w:hanging="2"/>
                          <w:textDirection w:val="btLr"/>
                          <w:textAlignment w:val="top"/>
                          <w:outlineLvl w:val="0"/>
                          <w:rPr>
                            <w:bCs/>
                            <w:position w:val="-1"/>
                          </w:rPr>
                        </w:pPr>
                        <w:r>
                          <w:rPr>
                            <w:bCs/>
                            <w:position w:val="-1"/>
                          </w:rPr>
                          <w:t>P</w:t>
                        </w:r>
                        <w:r w:rsidRPr="12328040" w:rsidDel="FFFFFFFF">
                          <w:rPr>
                            <w:bCs/>
                            <w:position w:val="-1"/>
                          </w:rPr>
                          <w:t xml:space="preserve">aziente inoperabile </w:t>
                        </w:r>
                        <w:r>
                          <w:rPr>
                            <w:bCs/>
                            <w:position w:val="-1"/>
                          </w:rPr>
                          <w:t xml:space="preserve">(per stadio, </w:t>
                        </w:r>
                        <w:r w:rsidRPr="12328040" w:rsidDel="FFFFFFFF">
                          <w:rPr>
                            <w:bCs/>
                            <w:position w:val="-1"/>
                          </w:rPr>
                          <w:t xml:space="preserve">comorbidità </w:t>
                        </w:r>
                        <w:r>
                          <w:rPr>
                            <w:bCs/>
                            <w:position w:val="-1"/>
                          </w:rPr>
                          <w:t xml:space="preserve">o </w:t>
                        </w:r>
                        <w:r w:rsidRPr="12328040" w:rsidDel="FFFFFFFF">
                          <w:rPr>
                            <w:bCs/>
                            <w:position w:val="-1"/>
                          </w:rPr>
                          <w:t>scarso PS</w:t>
                        </w:r>
                        <w:r>
                          <w:rPr>
                            <w:bCs/>
                            <w:position w:val="-1"/>
                          </w:rPr>
                          <w:t>):</w:t>
                        </w:r>
                      </w:p>
                      <w:p w14:paraId="7B715B1C" w14:textId="77777777" w:rsidR="00403EF9" w:rsidRPr="000003CF" w:rsidRDefault="00403EF9" w:rsidP="00403EF9">
                        <w:pPr>
                          <w:pStyle w:val="Paragrafoelenco"/>
                          <w:numPr>
                            <w:ilvl w:val="0"/>
                            <w:numId w:val="13"/>
                          </w:numPr>
                          <w:suppressAutoHyphens/>
                          <w:spacing w:line="1" w:lineRule="atLeast"/>
                          <w:textDirection w:val="btLr"/>
                          <w:textAlignment w:val="top"/>
                          <w:outlineLvl w:val="0"/>
                          <w:rPr>
                            <w:b/>
                            <w:position w:val="-1"/>
                          </w:rPr>
                        </w:pPr>
                        <w:r w:rsidRPr="000003CF" w:rsidDel="FFFFFFFF">
                          <w:rPr>
                            <w:b/>
                            <w:position w:val="-1"/>
                          </w:rPr>
                          <w:t>Biopsia renale</w:t>
                        </w:r>
                      </w:p>
                      <w:p w14:paraId="46C13F34" w14:textId="77777777" w:rsidR="00403EF9" w:rsidRDefault="00403EF9" w:rsidP="00403EF9">
                        <w:pPr>
                          <w:suppressAutoHyphens/>
                          <w:spacing w:line="1" w:lineRule="atLeast"/>
                          <w:ind w:leftChars="-1" w:hangingChars="1" w:hanging="2"/>
                          <w:textDirection w:val="btLr"/>
                          <w:textAlignment w:val="top"/>
                          <w:outlineLvl w:val="0"/>
                          <w:rPr>
                            <w:position w:val="-1"/>
                          </w:rPr>
                        </w:pPr>
                      </w:p>
                      <w:p w14:paraId="7EA27572" w14:textId="77777777" w:rsidR="00403EF9" w:rsidRDefault="00403EF9" w:rsidP="00403EF9">
                        <w:pPr>
                          <w:suppressAutoHyphens/>
                          <w:spacing w:line="1" w:lineRule="atLeast"/>
                          <w:ind w:leftChars="-1" w:hangingChars="1" w:hanging="2"/>
                          <w:textDirection w:val="btLr"/>
                          <w:textAlignment w:val="top"/>
                          <w:outlineLvl w:val="0"/>
                          <w:rPr>
                            <w:position w:val="-1"/>
                          </w:rPr>
                        </w:pPr>
                        <w:r w:rsidRPr="FFFFFFFF" w:rsidDel="FFFFFFFF">
                          <w:rPr>
                            <w:bCs/>
                            <w:position w:val="-1"/>
                          </w:rPr>
                          <w:t xml:space="preserve">- </w:t>
                        </w:r>
                        <w:r w:rsidRPr="12328040" w:rsidDel="FFFFFFFF">
                          <w:rPr>
                            <w:bCs/>
                            <w:position w:val="-1"/>
                          </w:rPr>
                          <w:t>alto carico di malattia metastatica</w:t>
                        </w:r>
                        <w:r w:rsidRPr="FFFFFFFF" w:rsidDel="FFFFFFFF">
                          <w:rPr>
                            <w:bCs/>
                            <w:position w:val="-1"/>
                          </w:rPr>
                          <w:t>)</w:t>
                        </w:r>
                      </w:p>
                      <w:p w14:paraId="39808229"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v:textbox>
                </v:roundrect>
                <v:group id="Gruppo 6" o:spid="_x0000_s1028" style="position:absolute;left:47;width:48860;height:41967" coordorigin="3143" coordsize="48860,4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AqywAAAOIAAAAPAAAAZHJzL2Rvd25yZXYueG1sRI9Ba8JA&#10;FITvQv/D8gre6m4spjV1FZG2eJBCtVB6e2SfSTD7NmTXJP57Vyh4HGbmG2axGmwtOmp95VhDMlEg&#10;iHNnKi40/Bw+nl5B+IBssHZMGi7kYbV8GC0wM67nb+r2oRARwj5DDWUITSalz0uy6CeuIY7e0bUW&#10;Q5RtIU2LfYTbWk6VSqXFiuNCiQ1tSspP+7PV8Nljv35O3rvd6bi5/B1mX7+7hLQePw7rNxCBhnAP&#10;/7e3RsOLStQ8TedTuF2Kd0AurwAAAP//AwBQSwECLQAUAAYACAAAACEA2+H2y+4AAACFAQAAEwAA&#10;AAAAAAAAAAAAAAAAAAAAW0NvbnRlbnRfVHlwZXNdLnhtbFBLAQItABQABgAIAAAAIQBa9CxbvwAA&#10;ABUBAAALAAAAAAAAAAAAAAAAAB8BAABfcmVscy8ucmVsc1BLAQItABQABgAIAAAAIQCQjnAqywAA&#10;AOIAAAAPAAAAAAAAAAAAAAAAAAcCAABkcnMvZG93bnJldi54bWxQSwUGAAAAAAMAAwC3AAAA/wIA&#10;AAAA&#10;">
                  <v:group id="Gruppo 5" o:spid="_x0000_s1029" style="position:absolute;left:3143;width:39167;height:31051" coordorigin="3143" coordsize="39168,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pfyQAAAOMAAAAPAAAAZHJzL2Rvd25yZXYueG1sRE9fa8Iw&#10;EH8f7DuEG+xtpq2Zk2oUETf2IIPpQHw7mrMtNpfSZG399stgsMf7/b/lerSN6KnztWMN6SQBQVw4&#10;U3Op4ev4+jQH4QOywcYxabiRh/Xq/m6JuXEDf1J/CKWIIexz1FCF0OZS+qIii37iWuLIXVxnMcSz&#10;K6XpcIjhtpFZksykxZpjQ4UtbSsqrodvq+FtwGEzTXf9/nrZ3s7H54/TPiWtHx/GzQJEoDH8i//c&#10;7ybOV7PsRSmVKfj9KQIgVz8AAAD//wMAUEsBAi0AFAAGAAgAAAAhANvh9svuAAAAhQEAABMAAAAA&#10;AAAAAAAAAAAAAAAAAFtDb250ZW50X1R5cGVzXS54bWxQSwECLQAUAAYACAAAACEAWvQsW78AAAAV&#10;AQAACwAAAAAAAAAAAAAAAAAfAQAAX3JlbHMvLnJlbHNQSwECLQAUAAYACAAAACEAblLaX8kAAADj&#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Casella di testo 608587552" o:spid="_x0000_s1030" type="#_x0000_t13" style="position:absolute;left:3143;top:18954;width:11430;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oVygAAAOIAAAAPAAAAZHJzL2Rvd25yZXYueG1sRI9BS8NA&#10;FITvQv/D8gre7CbF1BC7LUVaFNSDNeD1kX3dDc2+jdk1jf/eFQSPw8x8w6y3k+vESENoPSvIFxkI&#10;4sbrlo2C+v1wU4IIEVlj55kUfFOA7WZ2tcZK+wu/0XiMRiQIhwoV2Bj7SsrQWHIYFr4nTt7JDw5j&#10;koOResBLgrtOLrNsJR22nBYs9vRgqTkfv5yCvamL8Ey39ak2XW4/84/x9eVRqev5tLsHEWmK/+G/&#10;9pNWsMrKorwriiX8Xkp3QG5+AAAA//8DAFBLAQItABQABgAIAAAAIQDb4fbL7gAAAIUBAAATAAAA&#10;AAAAAAAAAAAAAAAAAABbQ29udGVudF9UeXBlc10ueG1sUEsBAi0AFAAGAAgAAAAhAFr0LFu/AAAA&#10;FQEAAAsAAAAAAAAAAAAAAAAAHwEAAF9yZWxzLy5yZWxzUEsBAi0AFAAGAAgAAAAhAObLChXKAAAA&#10;4gAAAA8AAAAAAAAAAAAAAAAABwIAAGRycy9kb3ducmV2LnhtbFBLBQYAAAAAAwADALcAAAD+AgAA&#10;AAA=&#10;" adj="16393" fillcolor="#ffc000" strokecolor="black [3213]" strokeweight="1pt">
                      <v:textbox>
                        <w:txbxContent>
                          <w:p w14:paraId="120E4087" w14:textId="77777777" w:rsidR="00403EF9" w:rsidRPr="000003CF" w:rsidRDefault="00403EF9" w:rsidP="00403EF9">
                            <w:pPr>
                              <w:suppressAutoHyphens/>
                              <w:spacing w:line="1" w:lineRule="atLeast"/>
                              <w:ind w:leftChars="-1" w:hangingChars="1" w:hanging="2"/>
                              <w:textDirection w:val="btLr"/>
                              <w:textAlignment w:val="top"/>
                              <w:outlineLvl w:val="0"/>
                              <w:rPr>
                                <w:b/>
                                <w:bCs/>
                                <w:position w:val="-1"/>
                                <w:sz w:val="18"/>
                                <w:szCs w:val="18"/>
                              </w:rPr>
                            </w:pPr>
                            <w:r w:rsidRPr="000003CF" w:rsidDel="FFFFFFFF">
                              <w:rPr>
                                <w:b/>
                                <w:bCs/>
                                <w:position w:val="-1"/>
                                <w:sz w:val="18"/>
                                <w:szCs w:val="18"/>
                              </w:rPr>
                              <w:t xml:space="preserve">    STANDARD </w:t>
                            </w:r>
                            <w:r>
                              <w:rPr>
                                <w:b/>
                                <w:bCs/>
                                <w:position w:val="-1"/>
                                <w:sz w:val="18"/>
                                <w:szCs w:val="18"/>
                              </w:rPr>
                              <w:t>diagnostico</w:t>
                            </w:r>
                            <w:r w:rsidRPr="000003CF" w:rsidDel="FFFFFFFF">
                              <w:rPr>
                                <w:b/>
                                <w:bCs/>
                                <w:position w:val="-1"/>
                                <w:sz w:val="18"/>
                                <w:szCs w:val="18"/>
                              </w:rPr>
                              <w:t xml:space="preserve">     </w:t>
                            </w:r>
                          </w:p>
                          <w:p w14:paraId="47CE4885"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v:textbox>
                    </v:shape>
                    <v:group id="Gruppo 4" o:spid="_x0000_s1031" style="position:absolute;left:13525;width:28787;height:31051" coordsize="28786,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NkywAAAOIAAAAPAAAAZHJzL2Rvd25yZXYueG1sRI9Ba8JA&#10;FITvQv/D8gq91U20piG6ikhbehChKoi3R/aZBLNvQ3abxH/fFQoeh5n5hlmsBlOLjlpXWVYQjyMQ&#10;xLnVFRcKjofP1xSE88gaa8uk4EYOVsun0QIzbXv+oW7vCxEg7DJUUHrfZFK6vCSDbmwb4uBdbGvQ&#10;B9kWUrfYB7ip5SSKEmmw4rBQYkObkvLr/tco+OqxX0/jj257vWxu58Nsd9rGpNTL87Ceg/A0+Ef4&#10;v/2tFaTJ+1uaJJMp3C+FOyCXfwAAAP//AwBQSwECLQAUAAYACAAAACEA2+H2y+4AAACFAQAAEwAA&#10;AAAAAAAAAAAAAAAAAAAAW0NvbnRlbnRfVHlwZXNdLnhtbFBLAQItABQABgAIAAAAIQBa9CxbvwAA&#10;ABUBAAALAAAAAAAAAAAAAAAAAB8BAABfcmVscy8ucmVsc1BLAQItABQABgAIAAAAIQC1DENkywAA&#10;AOIAAAAPAAAAAAAAAAAAAAAAAAcCAABkcnMvZG93bnJldi54bWxQSwUGAAAAAAMAAwC3AAAA/wIA&#10;AAAA&#10;">
                      <v:group id="Gruppo 3" o:spid="_x0000_s1032" style="position:absolute;width:28786;height:25395" coordsize="28786,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ZrywAAAOIAAAAPAAAAZHJzL2Rvd25yZXYueG1sRI9Ba8JA&#10;FITvhf6H5RW81U2MthJdRUSlBxHUQvH2yD6TYPZtyK5J/PduodDjMDPfMPNlbyrRUuNKywriYQSC&#10;OLO65FzB93n7PgXhPLLGyjIpeJCD5eL1ZY6pth0fqT35XAQIuxQVFN7XqZQuK8igG9qaOHhX2xj0&#10;QTa51A12AW4qOYqiD2mw5LBQYE3rgrLb6W4U7DrsVkm8afe36/pxOU8OP/uYlBq89asZCE+9/w//&#10;tb+0gukkHn+Ok1ECv5fCHZCLJwAAAP//AwBQSwECLQAUAAYACAAAACEA2+H2y+4AAACFAQAAEwAA&#10;AAAAAAAAAAAAAAAAAAAAW0NvbnRlbnRfVHlwZXNdLnhtbFBLAQItABQABgAIAAAAIQBa9CxbvwAA&#10;ABUBAAALAAAAAAAAAAAAAAAAAB8BAABfcmVscy8ucmVsc1BLAQItABQABgAIAAAAIQBfjqZrywAA&#10;AOIAAAAPAAAAAAAAAAAAAAAAAAcCAABkcnMvZG93bnJldi54bWxQSwUGAAAAAAMAAwC3AAAA/wIA&#10;AAAA&#10;">
                        <v:roundrect id="Casella di testo 1311646473" o:spid="_x0000_s1033" style="position:absolute;width:28786;height:117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joxwAAAOMAAAAPAAAAZHJzL2Rvd25yZXYueG1sRE9fa8Iw&#10;EH8X9h3CDXzTtFaqdEYZG5Mx2INu7PlozqZbc6lJ1Prtl8HAx/v9v9VmsJ04kw+tYwX5NANBXDvd&#10;cqPg8+NlsgQRIrLGzjEpuFKAzfputMJKuwvv6LyPjUghHCpUYGLsKylDbchimLqeOHEH5y3GdPpG&#10;ao+XFG47OcuyUlpsOTUY7OnJUP2zP1kF8uvt+d0X5nC0tFz465a+uTgpNb4fHh9ARBriTfzvftVp&#10;fpHn5bycLwr4+ykBINe/AAAA//8DAFBLAQItABQABgAIAAAAIQDb4fbL7gAAAIUBAAATAAAAAAAA&#10;AAAAAAAAAAAAAABbQ29udGVudF9UeXBlc10ueG1sUEsBAi0AFAAGAAgAAAAhAFr0LFu/AAAAFQEA&#10;AAsAAAAAAAAAAAAAAAAAHwEAAF9yZWxzLy5yZWxzUEsBAi0AFAAGAAgAAAAhANTNyOjHAAAA4wAA&#10;AA8AAAAAAAAAAAAAAAAABwIAAGRycy9kb3ducmV2LnhtbFBLBQYAAAAAAwADALcAAAD7AgAAAAA=&#10;" fillcolor="#ffc000" strokecolor="black [3213]" strokeweight="1pt">
                          <v:stroke joinstyle="miter"/>
                          <v:textbox>
                            <w:txbxContent>
                              <w:p w14:paraId="4FC0E91D" w14:textId="77777777" w:rsidR="00403EF9" w:rsidRDefault="00403EF9" w:rsidP="00403EF9">
                                <w:pPr>
                                  <w:suppressAutoHyphens/>
                                  <w:spacing w:line="1" w:lineRule="atLeast"/>
                                  <w:ind w:leftChars="-1" w:hangingChars="1" w:hanging="2"/>
                                  <w:jc w:val="center"/>
                                  <w:textDirection w:val="btLr"/>
                                  <w:textAlignment w:val="top"/>
                                  <w:outlineLvl w:val="0"/>
                                  <w:rPr>
                                    <w:position w:val="-1"/>
                                  </w:rPr>
                                </w:pPr>
                                <w:r w:rsidRPr="FFFFFFFF" w:rsidDel="FFFFFFFF">
                                  <w:rPr>
                                    <w:position w:val="-1"/>
                                  </w:rPr>
                                  <w:t>Sospetto tumore renale</w:t>
                                </w:r>
                                <w:r>
                                  <w:rPr>
                                    <w:position w:val="-1"/>
                                  </w:rPr>
                                  <w:t xml:space="preserve"> in imaging con MdC:</w:t>
                                </w:r>
                              </w:p>
                              <w:p w14:paraId="36BBCC5C" w14:textId="77777777" w:rsidR="00403EF9" w:rsidRDefault="00403EF9" w:rsidP="00403EF9">
                                <w:pPr>
                                  <w:suppressAutoHyphens/>
                                  <w:spacing w:line="1" w:lineRule="atLeast"/>
                                  <w:ind w:leftChars="-1" w:hangingChars="1" w:hanging="2"/>
                                  <w:jc w:val="center"/>
                                  <w:textDirection w:val="btLr"/>
                                  <w:textAlignment w:val="top"/>
                                  <w:outlineLvl w:val="0"/>
                                  <w:rPr>
                                    <w:position w:val="-1"/>
                                  </w:rPr>
                                </w:pPr>
                                <w:r>
                                  <w:rPr>
                                    <w:position w:val="-1"/>
                                  </w:rPr>
                                  <w:t>L</w:t>
                                </w:r>
                                <w:r w:rsidRPr="FFFFFFFF" w:rsidDel="FFFFFFFF">
                                  <w:rPr>
                                    <w:position w:val="-1"/>
                                  </w:rPr>
                                  <w:t xml:space="preserve">esione renale </w:t>
                                </w:r>
                                <w:r>
                                  <w:rPr>
                                    <w:position w:val="-1"/>
                                  </w:rPr>
                                  <w:t>(</w:t>
                                </w:r>
                                <w:r w:rsidRPr="FFFFFFFF" w:rsidDel="FFFFFFFF">
                                  <w:rPr>
                                    <w:position w:val="-1"/>
                                  </w:rPr>
                                  <w:t>solida o cistica complessa</w:t>
                                </w:r>
                                <w:r>
                                  <w:rPr>
                                    <w:position w:val="-1"/>
                                  </w:rPr>
                                  <w:t>) all’</w:t>
                                </w:r>
                                <w:r w:rsidRPr="FFFFFFFF" w:rsidDel="FFFFFFFF">
                                  <w:rPr>
                                    <w:position w:val="-1"/>
                                  </w:rPr>
                                  <w:t>ecografia</w:t>
                                </w:r>
                                <w:r>
                                  <w:rPr>
                                    <w:position w:val="-1"/>
                                  </w:rPr>
                                  <w:t xml:space="preserve"> </w:t>
                                </w:r>
                              </w:p>
                              <w:p w14:paraId="5D9BC28E"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v:textbox>
                        </v:roundrect>
                        <v:roundrect id="Casella di testo 808448740" o:spid="_x0000_s1034" style="position:absolute;left:2455;top:17610;width:24073;height:77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KmyAAAAOIAAAAPAAAAZHJzL2Rvd25yZXYueG1sRI/NagIx&#10;FIX3hb5DuAV3NVMdapgapVQUKXRRW7q+TK6TaSc3YxJ1fHuzKLg8nD+++XJwnThRiK1nDU/jAgRx&#10;7U3LjYbvr/WjAhETssHOM2m4UITl4v5ujpXxZ/6k0y41Io9wrFCDTamvpIy1JYdx7Hvi7O19cJiy&#10;DI00Ac953HVyUhTP0mHL+cFiT2+W6r/d0WmQP++rjzC1+4MjNQuXDf3y9Kj16GF4fQGRaEi38H97&#10;azSoQpWlmpUZIiNlHJCLKwAAAP//AwBQSwECLQAUAAYACAAAACEA2+H2y+4AAACFAQAAEwAAAAAA&#10;AAAAAAAAAAAAAAAAW0NvbnRlbnRfVHlwZXNdLnhtbFBLAQItABQABgAIAAAAIQBa9CxbvwAAABUB&#10;AAALAAAAAAAAAAAAAAAAAB8BAABfcmVscy8ucmVsc1BLAQItABQABgAIAAAAIQBS6BKmyAAAAOIA&#10;AAAPAAAAAAAAAAAAAAAAAAcCAABkcnMvZG93bnJldi54bWxQSwUGAAAAAAMAAwC3AAAA/AIAAAAA&#10;" fillcolor="#ffc000" strokecolor="black [3213]" strokeweight="1pt">
                          <v:stroke joinstyle="miter"/>
                          <v:textbox>
                            <w:txbxContent>
                              <w:p w14:paraId="3B83B952" w14:textId="77777777" w:rsidR="00403EF9" w:rsidRDefault="00403EF9" w:rsidP="00403EF9">
                                <w:pPr>
                                  <w:numPr>
                                    <w:ilvl w:val="0"/>
                                    <w:numId w:val="5"/>
                                  </w:numPr>
                                  <w:suppressAutoHyphens/>
                                  <w:spacing w:line="1" w:lineRule="atLeast"/>
                                  <w:ind w:leftChars="-1" w:left="0" w:hangingChars="1" w:hanging="2"/>
                                  <w:textDirection w:val="btLr"/>
                                  <w:textAlignment w:val="top"/>
                                  <w:outlineLvl w:val="0"/>
                                  <w:rPr>
                                    <w:position w:val="-1"/>
                                  </w:rPr>
                                </w:pPr>
                                <w:r w:rsidRPr="15038102" w:rsidDel="FFFFFFFF">
                                  <w:rPr>
                                    <w:bCs/>
                                    <w:position w:val="-1"/>
                                  </w:rPr>
                                  <w:t>Ecografia con m.d.c. (CEUS)</w:t>
                                </w:r>
                              </w:p>
                              <w:p w14:paraId="476962AB" w14:textId="77777777" w:rsidR="00403EF9" w:rsidRDefault="00403EF9" w:rsidP="00403EF9">
                                <w:pPr>
                                  <w:numPr>
                                    <w:ilvl w:val="0"/>
                                    <w:numId w:val="5"/>
                                  </w:numPr>
                                  <w:suppressAutoHyphens/>
                                  <w:spacing w:line="1" w:lineRule="atLeast"/>
                                  <w:ind w:leftChars="-1" w:left="0" w:hangingChars="1" w:hanging="2"/>
                                  <w:textDirection w:val="btLr"/>
                                  <w:textAlignment w:val="top"/>
                                  <w:outlineLvl w:val="0"/>
                                  <w:rPr>
                                    <w:position w:val="-1"/>
                                  </w:rPr>
                                </w:pPr>
                                <w:r w:rsidRPr="07480598" w:rsidDel="FFFFFFFF">
                                  <w:rPr>
                                    <w:bCs/>
                                    <w:position w:val="-1"/>
                                  </w:rPr>
                                  <w:t>TAC addome con m.d.c</w:t>
                                </w:r>
                              </w:p>
                              <w:p w14:paraId="30FB18D5" w14:textId="77777777" w:rsidR="00403EF9" w:rsidRDefault="00403EF9" w:rsidP="00403EF9">
                                <w:pPr>
                                  <w:suppressAutoHyphens/>
                                  <w:spacing w:line="1" w:lineRule="atLeast"/>
                                  <w:ind w:leftChars="-1" w:hangingChars="1" w:hanging="2"/>
                                  <w:textDirection w:val="btLr"/>
                                  <w:textAlignment w:val="top"/>
                                  <w:outlineLvl w:val="0"/>
                                  <w:rPr>
                                    <w:position w:val="-1"/>
                                  </w:rPr>
                                </w:pPr>
                                <w:r w:rsidRPr="FFFFFFFF" w:rsidDel="FFFFFFFF">
                                  <w:rPr>
                                    <w:bCs/>
                                    <w:position w:val="-1"/>
                                  </w:rPr>
                                  <w:t>(eventuale RMN)</w:t>
                                </w:r>
                              </w:p>
                              <w:p w14:paraId="2BF46DA2" w14:textId="77777777" w:rsidR="00403EF9" w:rsidRDefault="00403EF9" w:rsidP="00403EF9">
                                <w:pPr>
                                  <w:suppressAutoHyphens/>
                                  <w:spacing w:line="1" w:lineRule="atLeast"/>
                                  <w:ind w:leftChars="-1" w:hangingChars="1" w:hanging="2"/>
                                  <w:textDirection w:val="btLr"/>
                                  <w:textAlignment w:val="top"/>
                                  <w:outlineLvl w:val="0"/>
                                  <w:rPr>
                                    <w:position w:val="-1"/>
                                  </w:rPr>
                                </w:pPr>
                              </w:p>
                              <w:p w14:paraId="5B1EB9EA"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v:textbox>
                        </v:roundrect>
                        <v:shapetype id="_x0000_t32" coordsize="21600,21600" o:spt="32" o:oned="t" path="m,l21600,21600e" filled="f">
                          <v:path arrowok="t" fillok="f" o:connecttype="none"/>
                          <o:lock v:ext="edit" shapetype="t"/>
                        </v:shapetype>
                        <v:shape id="Connettore 2 2" o:spid="_x0000_s1035" type="#_x0000_t32" style="position:absolute;left:14392;top:117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AxgAAAOMAAAAPAAAAZHJzL2Rvd25yZXYueG1sRE9fa8Iw&#10;EH8X/A7hBN801Q6xnVHGmDhwL7oxX4/mTIvNJTSZdt9+EQY+3u//rTa9bcWVutA4VjCbZiCIK6cb&#10;Ngq+PreTJYgQkTW2jknBLwXYrIeDFZba3fhA12M0IoVwKFFBHaMvpQxVTRbD1HnixJ1dZzGmszNS&#10;d3hL4baV8yxbSIsNp4YaPb3WVF2OP1aB86bffR98/mb2H1vT+JOeh5NS41H/8gwiUh8f4n/3u07z&#10;n4rZssiLfAH3nxIAcv0HAAD//wMAUEsBAi0AFAAGAAgAAAAhANvh9svuAAAAhQEAABMAAAAAAAAA&#10;AAAAAAAAAAAAAFtDb250ZW50X1R5cGVzXS54bWxQSwECLQAUAAYACAAAACEAWvQsW78AAAAVAQAA&#10;CwAAAAAAAAAAAAAAAAAfAQAAX3JlbHMvLnJlbHNQSwECLQAUAAYACAAAACEAicA/wMYAAADjAAAA&#10;DwAAAAAAAAAAAAAAAAAHAgAAZHJzL2Rvd25yZXYueG1sUEsFBgAAAAADAAMAtwAAAPoCAAAAAA==&#10;" strokecolor="black [3213]" strokeweight="2pt">
                          <v:stroke endarrow="block"/>
                          <v:shadow on="t" color="black" opacity="24903f" origin=",.5" offset="0,.55556mm"/>
                        </v:shape>
                      </v:group>
                      <v:shape id="Connettore 2 2" o:spid="_x0000_s1036" type="#_x0000_t32" style="position:absolute;left:7096;top:25479;width:2381;height:55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lKygAAAOMAAAAPAAAAZHJzL2Rvd25yZXYueG1sRE9fa8Iw&#10;EH8f7DuEG+xlaKquTjujjMHYxKdVGfh2a65NWXPpmqj12y+CsMf7/b/FqreNOFLna8cKRsMEBHHh&#10;dM2Vgt32bTAD4QOyxsYxKTiTh9Xy9maBmXYn/qRjHioRQ9hnqMCE0GZS+sKQRT90LXHkStdZDPHs&#10;Kqk7PMVw28hxkkylxZpjg8GWXg0VP/nBKvgtn/ISH752h9E+Lb7fz5t1ZTZK3d/1L88gAvXhX3x1&#10;f+g4fz5PHyfpZDyFy08RALn8AwAA//8DAFBLAQItABQABgAIAAAAIQDb4fbL7gAAAIUBAAATAAAA&#10;AAAAAAAAAAAAAAAAAABbQ29udGVudF9UeXBlc10ueG1sUEsBAi0AFAAGAAgAAAAhAFr0LFu/AAAA&#10;FQEAAAsAAAAAAAAAAAAAAAAAHwEAAF9yZWxzLy5yZWxzUEsBAi0AFAAGAAgAAAAhAFXJqUrKAAAA&#10;4wAAAA8AAAAAAAAAAAAAAAAABwIAAGRycy9kb3ducmV2LnhtbFBLBQYAAAAAAwADALcAAAD+AgAA&#10;AAA=&#10;" strokecolor="windowText" strokeweight="1.5pt">
                        <v:stroke endarrow="block" joinstyle="miter"/>
                      </v:shape>
                      <v:shape id="Connettore 2 2" o:spid="_x0000_s1037" type="#_x0000_t32" style="position:absolute;left:21286;top:25381;width:2764;height:5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3xwAAAOMAAAAPAAAAZHJzL2Rvd25yZXYueG1sRE9fS8Mw&#10;EH8X/A7hBN9cujlXW5cNEcWxt83BXo/mbMuaS5vEpn57Iwg+3u//rbeT6cRIzreWFcxnGQjiyuqW&#10;awWnj7e7RxA+IGvsLJOCb/Kw3VxfrbHUNvKBxmOoRQphX6KCJoS+lNJXDRn0M9sTJ+7TOoMhna6W&#10;2mFM4aaTiyxbSYMtp4YGe3ppqLocv4yCM766YYjFmO/eTw/6nMch7qNStzfT8xOIQFP4F/+5dzrN&#10;vy8W2TIvljn8/pQAkJsfAAAA//8DAFBLAQItABQABgAIAAAAIQDb4fbL7gAAAIUBAAATAAAAAAAA&#10;AAAAAAAAAAAAAABbQ29udGVudF9UeXBlc10ueG1sUEsBAi0AFAAGAAgAAAAhAFr0LFu/AAAAFQEA&#10;AAsAAAAAAAAAAAAAAAAAHwEAAF9yZWxzLy5yZWxzUEsBAi0AFAAGAAgAAAAhABxL67fHAAAA4wAA&#10;AA8AAAAAAAAAAAAAAAAABwIAAGRycy9kb3ducmV2LnhtbFBLBQYAAAAAAwADALcAAAD7AgAAAAA=&#10;" strokecolor="windowText" strokeweight="1.5pt">
                        <v:stroke endarrow="block" joinstyle="miter"/>
                      </v:shape>
                    </v:group>
                  </v:group>
                  <v:roundrect id="Casella di testo 2037763083" o:spid="_x0000_s1038" style="position:absolute;left:29384;top:31242;width:22619;height:10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pLyQAAAOMAAAAPAAAAZHJzL2Rvd25yZXYueG1sRI9BSwMx&#10;FITvgv8hPMGbTWygu2ybFlEUETxYxfNj87rZunlZk7Td/nsjCB6HmfmGWW0mP4gjxdQHNnA7UyCI&#10;22B77gx8vD/e1CBSRrY4BCYDZ0qwWV9erLCx4cRvdNzmThQIpwYNuJzHRsrUOvKYZmEkLt4uRI+5&#10;yNhJG/FU4H6Qc6UW0mPPZcHhSPeO2q/twRuQny8Pr1G73benuornJ9qzPhhzfTXdLUFkmvJ/+K/9&#10;bA3Mla6qhVa1ht9P5Q/I9Q8AAAD//wMAUEsBAi0AFAAGAAgAAAAhANvh9svuAAAAhQEAABMAAAAA&#10;AAAAAAAAAAAAAAAAAFtDb250ZW50X1R5cGVzXS54bWxQSwECLQAUAAYACAAAACEAWvQsW78AAAAV&#10;AQAACwAAAAAAAAAAAAAAAAAfAQAAX3JlbHMvLnJlbHNQSwECLQAUAAYACAAAACEADLLqS8kAAADj&#10;AAAADwAAAAAAAAAAAAAAAAAHAgAAZHJzL2Rvd25yZXYueG1sUEsFBgAAAAADAAMAtwAAAP0CAAAA&#10;AA==&#10;" fillcolor="#ffc000" strokecolor="black [3213]" strokeweight="1pt">
                    <v:stroke joinstyle="miter"/>
                    <v:textbox>
                      <w:txbxContent>
                        <w:p w14:paraId="44CF2C96" w14:textId="77777777" w:rsidR="00403EF9" w:rsidRPr="000003CF" w:rsidRDefault="00403EF9" w:rsidP="00403EF9">
                          <w:pPr>
                            <w:suppressAutoHyphens/>
                            <w:spacing w:after="160" w:line="1" w:lineRule="atLeast"/>
                            <w:ind w:leftChars="-1" w:hangingChars="1" w:hanging="2"/>
                            <w:textDirection w:val="btLr"/>
                            <w:textAlignment w:val="top"/>
                            <w:outlineLvl w:val="0"/>
                            <w:rPr>
                              <w:bCs/>
                              <w:position w:val="-1"/>
                            </w:rPr>
                          </w:pPr>
                          <w:r w:rsidRPr="000003CF">
                            <w:rPr>
                              <w:bCs/>
                              <w:position w:val="-1"/>
                            </w:rPr>
                            <w:t>Paziente operabile (</w:t>
                          </w:r>
                          <w:r w:rsidRPr="000003CF" w:rsidDel="FFFFFFFF">
                            <w:rPr>
                              <w:bCs/>
                              <w:position w:val="-1"/>
                            </w:rPr>
                            <w:t>malattia localizzata</w:t>
                          </w:r>
                          <w:r w:rsidRPr="000003CF">
                            <w:rPr>
                              <w:bCs/>
                              <w:position w:val="-1"/>
                            </w:rPr>
                            <w:t xml:space="preserve"> o m</w:t>
                          </w:r>
                          <w:r w:rsidRPr="000003CF" w:rsidDel="FFFFFFFF">
                            <w:rPr>
                              <w:bCs/>
                              <w:position w:val="-1"/>
                            </w:rPr>
                            <w:t xml:space="preserve">etastatica </w:t>
                          </w:r>
                          <w:r w:rsidRPr="000003CF">
                            <w:rPr>
                              <w:bCs/>
                              <w:position w:val="-1"/>
                            </w:rPr>
                            <w:t>radicalmente</w:t>
                          </w:r>
                          <w:r w:rsidRPr="000003CF" w:rsidDel="FFFFFFFF">
                            <w:rPr>
                              <w:bCs/>
                              <w:position w:val="-1"/>
                            </w:rPr>
                            <w:t xml:space="preserve"> operabile</w:t>
                          </w:r>
                          <w:r w:rsidRPr="000003CF">
                            <w:rPr>
                              <w:bCs/>
                              <w:position w:val="-1"/>
                            </w:rPr>
                            <w:t>)</w:t>
                          </w:r>
                        </w:p>
                        <w:p w14:paraId="5AEE4384" w14:textId="77777777" w:rsidR="00360170" w:rsidRPr="000003CF" w:rsidRDefault="00403EF9" w:rsidP="00403EF9">
                          <w:pPr>
                            <w:numPr>
                              <w:ilvl w:val="0"/>
                              <w:numId w:val="14"/>
                            </w:numPr>
                            <w:suppressAutoHyphens/>
                            <w:spacing w:after="160" w:line="1" w:lineRule="atLeast"/>
                            <w:ind w:leftChars="-1" w:left="0" w:hangingChars="1" w:hanging="2"/>
                            <w:textDirection w:val="btLr"/>
                            <w:textAlignment w:val="top"/>
                            <w:outlineLvl w:val="0"/>
                            <w:rPr>
                              <w:b/>
                              <w:bCs/>
                              <w:position w:val="-1"/>
                            </w:rPr>
                          </w:pPr>
                          <w:r w:rsidRPr="000003CF">
                            <w:rPr>
                              <w:b/>
                              <w:bCs/>
                              <w:position w:val="-1"/>
                            </w:rPr>
                            <w:t>Chirurgia</w:t>
                          </w:r>
                        </w:p>
                        <w:p w14:paraId="01A114AB" w14:textId="77777777" w:rsidR="00403EF9" w:rsidRDefault="00403EF9" w:rsidP="00403EF9">
                          <w:pPr>
                            <w:suppressAutoHyphens/>
                            <w:spacing w:line="1" w:lineRule="atLeast"/>
                            <w:ind w:leftChars="-1" w:hangingChars="1" w:hanging="2"/>
                            <w:textDirection w:val="btLr"/>
                            <w:textAlignment w:val="top"/>
                            <w:outlineLvl w:val="0"/>
                            <w:rPr>
                              <w:position w:val="-1"/>
                            </w:rPr>
                          </w:pPr>
                        </w:p>
                        <w:p w14:paraId="1BA2A550" w14:textId="77777777" w:rsidR="00403EF9" w:rsidRDefault="00403EF9" w:rsidP="00403EF9">
                          <w:pPr>
                            <w:suppressAutoHyphens/>
                            <w:spacing w:line="1" w:lineRule="atLeast"/>
                            <w:ind w:leftChars="-1" w:hangingChars="1" w:hanging="2"/>
                            <w:textDirection w:val="btLr"/>
                            <w:textAlignment w:val="top"/>
                            <w:outlineLvl w:val="0"/>
                            <w:rPr>
                              <w:position w:val="-1"/>
                            </w:rPr>
                          </w:pPr>
                          <w:r w:rsidRPr="FFFFFFFF" w:rsidDel="FFFFFFFF">
                            <w:rPr>
                              <w:bCs/>
                              <w:position w:val="-1"/>
                            </w:rPr>
                            <w:t xml:space="preserve">- </w:t>
                          </w:r>
                          <w:r w:rsidRPr="12328040" w:rsidDel="FFFFFFFF">
                            <w:rPr>
                              <w:bCs/>
                              <w:position w:val="-1"/>
                            </w:rPr>
                            <w:t>alto carico di malattia metastatica</w:t>
                          </w:r>
                          <w:r w:rsidRPr="FFFFFFFF" w:rsidDel="FFFFFFFF">
                            <w:rPr>
                              <w:bCs/>
                              <w:position w:val="-1"/>
                            </w:rPr>
                            <w:t>)</w:t>
                          </w:r>
                        </w:p>
                        <w:p w14:paraId="49ACA297" w14:textId="77777777" w:rsidR="00403EF9" w:rsidRDefault="00403EF9" w:rsidP="00403EF9">
                          <w:pPr>
                            <w:suppressAutoHyphens/>
                            <w:spacing w:line="1" w:lineRule="atLeast"/>
                            <w:ind w:leftChars="-1" w:hangingChars="1" w:hanging="2"/>
                            <w:textDirection w:val="btLr"/>
                            <w:textAlignment w:val="top"/>
                            <w:outlineLvl w:val="0"/>
                            <w:rPr>
                              <w:position w:val="-1"/>
                            </w:rPr>
                          </w:pPr>
                        </w:p>
                      </w:txbxContent>
                    </v:textbox>
                  </v:roundrect>
                </v:group>
              </v:group>
            </w:pict>
          </mc:Fallback>
        </mc:AlternateContent>
      </w:r>
      <w:r>
        <w:rPr>
          <w:b/>
          <w:color w:val="000000"/>
          <w:sz w:val="24"/>
          <w:szCs w:val="24"/>
        </w:rPr>
        <w:t xml:space="preserve">    </w:t>
      </w:r>
    </w:p>
    <w:p w14:paraId="3F954F97" w14:textId="77777777" w:rsidR="00231B0C" w:rsidRDefault="00231B0C">
      <w:pPr>
        <w:pBdr>
          <w:top w:val="nil"/>
          <w:left w:val="nil"/>
          <w:bottom w:val="nil"/>
          <w:right w:val="nil"/>
          <w:between w:val="nil"/>
        </w:pBdr>
        <w:spacing w:line="360" w:lineRule="auto"/>
        <w:jc w:val="both"/>
        <w:rPr>
          <w:color w:val="000000"/>
          <w:sz w:val="24"/>
          <w:szCs w:val="24"/>
        </w:rPr>
      </w:pPr>
    </w:p>
    <w:p w14:paraId="55195E4D" w14:textId="5CA0F0B2" w:rsidR="00231B0C" w:rsidRDefault="00231B0C">
      <w:pPr>
        <w:pBdr>
          <w:top w:val="nil"/>
          <w:left w:val="nil"/>
          <w:bottom w:val="nil"/>
          <w:right w:val="nil"/>
          <w:between w:val="nil"/>
        </w:pBdr>
        <w:spacing w:line="360" w:lineRule="auto"/>
        <w:jc w:val="both"/>
        <w:rPr>
          <w:color w:val="000000"/>
          <w:sz w:val="24"/>
          <w:szCs w:val="24"/>
        </w:rPr>
      </w:pPr>
    </w:p>
    <w:p w14:paraId="49439A5F" w14:textId="7199B3AA" w:rsidR="00231B0C" w:rsidRDefault="00231B0C">
      <w:pPr>
        <w:pBdr>
          <w:top w:val="nil"/>
          <w:left w:val="nil"/>
          <w:bottom w:val="nil"/>
          <w:right w:val="nil"/>
          <w:between w:val="nil"/>
        </w:pBdr>
        <w:spacing w:line="360" w:lineRule="auto"/>
        <w:jc w:val="both"/>
        <w:rPr>
          <w:color w:val="000000"/>
          <w:sz w:val="24"/>
          <w:szCs w:val="24"/>
        </w:rPr>
      </w:pPr>
    </w:p>
    <w:p w14:paraId="418605A7" w14:textId="77777777" w:rsidR="00231B0C" w:rsidRDefault="00231B0C">
      <w:pPr>
        <w:pBdr>
          <w:top w:val="nil"/>
          <w:left w:val="nil"/>
          <w:bottom w:val="nil"/>
          <w:right w:val="nil"/>
          <w:between w:val="nil"/>
        </w:pBdr>
        <w:spacing w:line="360" w:lineRule="auto"/>
        <w:jc w:val="both"/>
        <w:rPr>
          <w:color w:val="000000"/>
          <w:sz w:val="24"/>
          <w:szCs w:val="24"/>
        </w:rPr>
      </w:pPr>
    </w:p>
    <w:p w14:paraId="4D93BB06" w14:textId="76BE671A" w:rsidR="00231B0C" w:rsidRDefault="00231B0C">
      <w:pPr>
        <w:pBdr>
          <w:top w:val="nil"/>
          <w:left w:val="nil"/>
          <w:bottom w:val="nil"/>
          <w:right w:val="nil"/>
          <w:between w:val="nil"/>
        </w:pBdr>
        <w:spacing w:line="360" w:lineRule="auto"/>
        <w:jc w:val="both"/>
        <w:rPr>
          <w:color w:val="000000"/>
          <w:sz w:val="24"/>
          <w:szCs w:val="24"/>
        </w:rPr>
      </w:pPr>
    </w:p>
    <w:p w14:paraId="377AA97A" w14:textId="2FB8228F" w:rsidR="00231B0C" w:rsidRDefault="00231B0C">
      <w:pPr>
        <w:pBdr>
          <w:top w:val="nil"/>
          <w:left w:val="nil"/>
          <w:bottom w:val="nil"/>
          <w:right w:val="nil"/>
          <w:between w:val="nil"/>
        </w:pBdr>
        <w:spacing w:line="360" w:lineRule="auto"/>
        <w:jc w:val="both"/>
        <w:rPr>
          <w:color w:val="000000"/>
          <w:sz w:val="24"/>
          <w:szCs w:val="24"/>
        </w:rPr>
      </w:pPr>
    </w:p>
    <w:p w14:paraId="77C46E0E" w14:textId="7782D2A6" w:rsidR="00231B0C" w:rsidRDefault="00231B0C">
      <w:pPr>
        <w:pBdr>
          <w:top w:val="nil"/>
          <w:left w:val="nil"/>
          <w:bottom w:val="nil"/>
          <w:right w:val="nil"/>
          <w:between w:val="nil"/>
        </w:pBdr>
        <w:spacing w:line="360" w:lineRule="auto"/>
        <w:jc w:val="both"/>
        <w:rPr>
          <w:color w:val="000000"/>
          <w:sz w:val="24"/>
          <w:szCs w:val="24"/>
        </w:rPr>
      </w:pPr>
    </w:p>
    <w:p w14:paraId="45BF0CE4" w14:textId="77777777" w:rsidR="00231B0C" w:rsidRDefault="00231B0C">
      <w:pPr>
        <w:pBdr>
          <w:top w:val="nil"/>
          <w:left w:val="nil"/>
          <w:bottom w:val="nil"/>
          <w:right w:val="nil"/>
          <w:between w:val="nil"/>
        </w:pBdr>
        <w:spacing w:line="360" w:lineRule="auto"/>
        <w:jc w:val="both"/>
        <w:rPr>
          <w:color w:val="000000"/>
          <w:sz w:val="24"/>
          <w:szCs w:val="24"/>
        </w:rPr>
      </w:pPr>
    </w:p>
    <w:p w14:paraId="4D5E5FC4" w14:textId="77777777" w:rsidR="00231B0C" w:rsidRDefault="00231B0C">
      <w:pPr>
        <w:pBdr>
          <w:top w:val="nil"/>
          <w:left w:val="nil"/>
          <w:bottom w:val="nil"/>
          <w:right w:val="nil"/>
          <w:between w:val="nil"/>
        </w:pBdr>
        <w:spacing w:line="360" w:lineRule="auto"/>
        <w:jc w:val="both"/>
        <w:rPr>
          <w:color w:val="000000"/>
          <w:sz w:val="24"/>
          <w:szCs w:val="24"/>
        </w:rPr>
      </w:pPr>
    </w:p>
    <w:p w14:paraId="388CD358" w14:textId="77777777" w:rsidR="00231B0C" w:rsidRDefault="00231B0C">
      <w:pPr>
        <w:pBdr>
          <w:top w:val="nil"/>
          <w:left w:val="nil"/>
          <w:bottom w:val="nil"/>
          <w:right w:val="nil"/>
          <w:between w:val="nil"/>
        </w:pBdr>
        <w:spacing w:line="360" w:lineRule="auto"/>
        <w:jc w:val="both"/>
        <w:rPr>
          <w:color w:val="000000"/>
          <w:sz w:val="24"/>
          <w:szCs w:val="24"/>
        </w:rPr>
      </w:pPr>
    </w:p>
    <w:p w14:paraId="0D94BB73" w14:textId="77777777" w:rsidR="00231B0C" w:rsidRDefault="00231B0C">
      <w:pPr>
        <w:pBdr>
          <w:top w:val="nil"/>
          <w:left w:val="nil"/>
          <w:bottom w:val="nil"/>
          <w:right w:val="nil"/>
          <w:between w:val="nil"/>
        </w:pBdr>
        <w:spacing w:line="360" w:lineRule="auto"/>
        <w:jc w:val="both"/>
        <w:rPr>
          <w:color w:val="000000"/>
          <w:sz w:val="24"/>
          <w:szCs w:val="24"/>
        </w:rPr>
      </w:pPr>
    </w:p>
    <w:p w14:paraId="1DE7F482" w14:textId="77777777" w:rsidR="00231B0C" w:rsidRDefault="00231B0C">
      <w:pPr>
        <w:pBdr>
          <w:top w:val="nil"/>
          <w:left w:val="nil"/>
          <w:bottom w:val="nil"/>
          <w:right w:val="nil"/>
          <w:between w:val="nil"/>
        </w:pBdr>
        <w:spacing w:line="360" w:lineRule="auto"/>
        <w:jc w:val="both"/>
        <w:rPr>
          <w:color w:val="000000"/>
          <w:sz w:val="24"/>
          <w:szCs w:val="24"/>
        </w:rPr>
      </w:pPr>
    </w:p>
    <w:p w14:paraId="669BEEE0" w14:textId="77777777" w:rsidR="00231B0C" w:rsidRDefault="00231B0C">
      <w:pPr>
        <w:pBdr>
          <w:top w:val="nil"/>
          <w:left w:val="nil"/>
          <w:bottom w:val="nil"/>
          <w:right w:val="nil"/>
          <w:between w:val="nil"/>
        </w:pBdr>
        <w:spacing w:line="360" w:lineRule="auto"/>
        <w:jc w:val="both"/>
        <w:rPr>
          <w:color w:val="000000"/>
          <w:sz w:val="24"/>
          <w:szCs w:val="24"/>
        </w:rPr>
      </w:pPr>
    </w:p>
    <w:p w14:paraId="0727E471" w14:textId="77777777" w:rsidR="00231B0C" w:rsidRDefault="00231B0C">
      <w:pPr>
        <w:pBdr>
          <w:top w:val="nil"/>
          <w:left w:val="nil"/>
          <w:bottom w:val="nil"/>
          <w:right w:val="nil"/>
          <w:between w:val="nil"/>
        </w:pBdr>
        <w:spacing w:line="360" w:lineRule="auto"/>
        <w:jc w:val="both"/>
        <w:rPr>
          <w:color w:val="000000"/>
          <w:sz w:val="24"/>
          <w:szCs w:val="24"/>
        </w:rPr>
      </w:pPr>
    </w:p>
    <w:p w14:paraId="20736718"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xml:space="preserve">Stadiazione pre-operatoria </w:t>
      </w:r>
    </w:p>
    <w:p w14:paraId="0646C55C"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La conferma della diagnosi di tumore del rene comporta il successivo step che lo specialista (oncologo/urologo) deve effettuare </w:t>
      </w:r>
      <w:r>
        <w:rPr>
          <w:b/>
          <w:color w:val="000000"/>
          <w:sz w:val="24"/>
          <w:szCs w:val="24"/>
        </w:rPr>
        <w:t>(Tabella 1).</w:t>
      </w:r>
      <w:r>
        <w:rPr>
          <w:color w:val="000000"/>
          <w:sz w:val="24"/>
          <w:szCs w:val="24"/>
        </w:rPr>
        <w:t xml:space="preserve"> La PET/TC (tomografia ad emissione di positroni) non è attualmente raccomandata nella diagnosi in quanto la scarsa avidità del carcinoma renale a cellule chiare per il glucosio, attribuisce alla metodica un rischio elevato di falsi negativi e ad oggi, il suo utilizzo nel carcinoma renale non è giustificato.</w:t>
      </w:r>
    </w:p>
    <w:p w14:paraId="640E1264" w14:textId="77777777" w:rsidR="00231B0C" w:rsidRDefault="00231B0C">
      <w:pPr>
        <w:pBdr>
          <w:top w:val="nil"/>
          <w:left w:val="nil"/>
          <w:bottom w:val="nil"/>
          <w:right w:val="nil"/>
          <w:between w:val="nil"/>
        </w:pBdr>
        <w:spacing w:line="360" w:lineRule="auto"/>
        <w:jc w:val="both"/>
        <w:rPr>
          <w:color w:val="000000"/>
          <w:sz w:val="24"/>
          <w:szCs w:val="24"/>
        </w:rPr>
      </w:pPr>
    </w:p>
    <w:p w14:paraId="0AE47A78"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Tabella 1.</w:t>
      </w:r>
      <w:r>
        <w:rPr>
          <w:color w:val="000000"/>
          <w:sz w:val="22"/>
          <w:szCs w:val="22"/>
        </w:rPr>
        <w:t xml:space="preserve"> </w:t>
      </w:r>
      <w:r>
        <w:rPr>
          <w:b/>
          <w:color w:val="000000"/>
          <w:sz w:val="22"/>
          <w:szCs w:val="22"/>
        </w:rPr>
        <w:t>Esami strumentali per la stadiazione</w:t>
      </w:r>
    </w:p>
    <w:tbl>
      <w:tblPr>
        <w:tblStyle w:val="a0"/>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4819"/>
      </w:tblGrid>
      <w:tr w:rsidR="00231B0C" w14:paraId="44D7AB9C" w14:textId="77777777">
        <w:tc>
          <w:tcPr>
            <w:tcW w:w="4819" w:type="dxa"/>
          </w:tcPr>
          <w:p w14:paraId="7A3B15E5"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TC addome completo con mdc</w:t>
            </w:r>
          </w:p>
        </w:tc>
        <w:tc>
          <w:tcPr>
            <w:tcW w:w="4819" w:type="dxa"/>
          </w:tcPr>
          <w:p w14:paraId="47C3FD42"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Appropriata </w:t>
            </w:r>
          </w:p>
        </w:tc>
      </w:tr>
      <w:tr w:rsidR="00231B0C" w14:paraId="460DD2A9" w14:textId="77777777">
        <w:tc>
          <w:tcPr>
            <w:tcW w:w="4819" w:type="dxa"/>
          </w:tcPr>
          <w:p w14:paraId="20DF6953"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TC torace (con o senza mdc)</w:t>
            </w:r>
          </w:p>
        </w:tc>
        <w:tc>
          <w:tcPr>
            <w:tcW w:w="4819" w:type="dxa"/>
          </w:tcPr>
          <w:p w14:paraId="35D84CFA"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Appropriata </w:t>
            </w:r>
          </w:p>
        </w:tc>
      </w:tr>
      <w:tr w:rsidR="00231B0C" w14:paraId="18312C8B" w14:textId="77777777">
        <w:tc>
          <w:tcPr>
            <w:tcW w:w="4819" w:type="dxa"/>
          </w:tcPr>
          <w:p w14:paraId="1B576DF2"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RM addome completo con mdc</w:t>
            </w:r>
          </w:p>
        </w:tc>
        <w:tc>
          <w:tcPr>
            <w:tcW w:w="4819" w:type="dxa"/>
          </w:tcPr>
          <w:p w14:paraId="04219A82"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Appropriata </w:t>
            </w:r>
          </w:p>
        </w:tc>
      </w:tr>
      <w:tr w:rsidR="00231B0C" w14:paraId="1E24FF28" w14:textId="77777777">
        <w:tc>
          <w:tcPr>
            <w:tcW w:w="4819" w:type="dxa"/>
          </w:tcPr>
          <w:p w14:paraId="318696A1"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Scintigrafia ossea</w:t>
            </w:r>
          </w:p>
        </w:tc>
        <w:tc>
          <w:tcPr>
            <w:tcW w:w="4819" w:type="dxa"/>
          </w:tcPr>
          <w:p w14:paraId="134D78EE"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Appropriata in casi selezionati*</w:t>
            </w:r>
          </w:p>
        </w:tc>
      </w:tr>
      <w:tr w:rsidR="00231B0C" w14:paraId="5784123A" w14:textId="77777777">
        <w:tc>
          <w:tcPr>
            <w:tcW w:w="4819" w:type="dxa"/>
          </w:tcPr>
          <w:p w14:paraId="0C5D59F5"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RM encefalo </w:t>
            </w:r>
          </w:p>
        </w:tc>
        <w:tc>
          <w:tcPr>
            <w:tcW w:w="4819" w:type="dxa"/>
          </w:tcPr>
          <w:p w14:paraId="7450B6DC"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Appropriata in casi selezionati*</w:t>
            </w:r>
          </w:p>
        </w:tc>
      </w:tr>
      <w:tr w:rsidR="00231B0C" w14:paraId="3C30C993" w14:textId="77777777">
        <w:tc>
          <w:tcPr>
            <w:tcW w:w="4819" w:type="dxa"/>
          </w:tcPr>
          <w:p w14:paraId="00BC221A"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PET total body </w:t>
            </w:r>
          </w:p>
        </w:tc>
        <w:tc>
          <w:tcPr>
            <w:tcW w:w="4819" w:type="dxa"/>
          </w:tcPr>
          <w:p w14:paraId="4C74E98E"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Inappropriata </w:t>
            </w:r>
          </w:p>
        </w:tc>
      </w:tr>
    </w:tbl>
    <w:p w14:paraId="36B1DB4D"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in caso di sintomatologia ossea o cerebrale</w:t>
      </w:r>
    </w:p>
    <w:p w14:paraId="6036FD13" w14:textId="77777777" w:rsidR="00231B0C" w:rsidRDefault="00231B0C">
      <w:pPr>
        <w:pBdr>
          <w:top w:val="nil"/>
          <w:left w:val="nil"/>
          <w:bottom w:val="nil"/>
          <w:right w:val="nil"/>
          <w:between w:val="nil"/>
        </w:pBdr>
        <w:spacing w:line="360" w:lineRule="auto"/>
        <w:jc w:val="both"/>
        <w:rPr>
          <w:color w:val="000000"/>
          <w:sz w:val="24"/>
          <w:szCs w:val="24"/>
        </w:rPr>
      </w:pPr>
    </w:p>
    <w:p w14:paraId="3897B584"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Per la stadiazione del carcinoma renale si fa generalmente riferimento al sistema TNM dell’American Joint Committee on Cancer, VII versione, 2010 e successive integrazioni </w:t>
      </w:r>
      <w:r>
        <w:rPr>
          <w:b/>
          <w:color w:val="000000"/>
          <w:sz w:val="24"/>
          <w:szCs w:val="24"/>
        </w:rPr>
        <w:t>(Tabella 2-3)</w:t>
      </w:r>
      <w:r>
        <w:rPr>
          <w:color w:val="000000"/>
          <w:sz w:val="24"/>
          <w:szCs w:val="24"/>
        </w:rPr>
        <w:t xml:space="preserve">, specificando se si tratta di una stadiazione clinica basata sull’imaging (cTNM) oppure patologica dopo intervento (pTNM). </w:t>
      </w:r>
    </w:p>
    <w:p w14:paraId="2F1B6D35" w14:textId="77777777" w:rsidR="00231B0C" w:rsidRDefault="00231B0C">
      <w:pPr>
        <w:pBdr>
          <w:top w:val="nil"/>
          <w:left w:val="nil"/>
          <w:bottom w:val="nil"/>
          <w:right w:val="nil"/>
          <w:between w:val="nil"/>
        </w:pBdr>
        <w:spacing w:line="360" w:lineRule="auto"/>
        <w:jc w:val="both"/>
        <w:rPr>
          <w:color w:val="000000"/>
          <w:sz w:val="24"/>
          <w:szCs w:val="24"/>
        </w:rPr>
      </w:pPr>
    </w:p>
    <w:p w14:paraId="4A396571"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xml:space="preserve">Tabella 2. Classificazione TNM del carcinoma renale (settima edizione- revisione 2010) </w:t>
      </w:r>
    </w:p>
    <w:tbl>
      <w:tblPr>
        <w:tblStyle w:val="a1"/>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231B0C" w14:paraId="62A54DBF" w14:textId="77777777" w:rsidTr="00425A04">
        <w:trPr>
          <w:trHeight w:val="201"/>
          <w:jc w:val="center"/>
        </w:trPr>
        <w:tc>
          <w:tcPr>
            <w:tcW w:w="9356" w:type="dxa"/>
            <w:tcBorders>
              <w:top w:val="single" w:sz="4" w:space="0" w:color="000000"/>
              <w:left w:val="single" w:sz="4" w:space="0" w:color="000000"/>
              <w:bottom w:val="single" w:sz="4" w:space="0" w:color="000000"/>
              <w:right w:val="single" w:sz="4" w:space="0" w:color="000000"/>
            </w:tcBorders>
            <w:shd w:val="clear" w:color="auto" w:fill="F7A25B"/>
          </w:tcPr>
          <w:p w14:paraId="16F57C11"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T primario (T)</w:t>
            </w:r>
          </w:p>
        </w:tc>
      </w:tr>
      <w:tr w:rsidR="00231B0C" w14:paraId="16C3D2F0"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7AA493B7"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Tx</w:t>
            </w:r>
            <w:r>
              <w:rPr>
                <w:color w:val="000000"/>
                <w:sz w:val="22"/>
                <w:szCs w:val="22"/>
              </w:rPr>
              <w:t xml:space="preserve"> Il tumore primitivo non può essere determinato</w:t>
            </w:r>
          </w:p>
        </w:tc>
      </w:tr>
      <w:tr w:rsidR="00231B0C" w14:paraId="54B1B13D"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717FF39D"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T0</w:t>
            </w:r>
            <w:r>
              <w:rPr>
                <w:color w:val="000000"/>
                <w:sz w:val="22"/>
                <w:szCs w:val="22"/>
              </w:rPr>
              <w:t xml:space="preserve"> Assenza di tumore primitivo</w:t>
            </w:r>
          </w:p>
        </w:tc>
      </w:tr>
      <w:tr w:rsidR="00231B0C" w14:paraId="76C37014"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3FE95DE2"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T1</w:t>
            </w:r>
            <w:r>
              <w:rPr>
                <w:color w:val="000000"/>
                <w:sz w:val="22"/>
                <w:szCs w:val="22"/>
              </w:rPr>
              <w:t xml:space="preserve"> Tumore con dimensione maggiore uguale o inferiore a 7 cm, limitato al rene</w:t>
            </w:r>
          </w:p>
        </w:tc>
      </w:tr>
      <w:tr w:rsidR="00231B0C" w14:paraId="6872A5C5"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42AFAC52"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 xml:space="preserve">T1a </w:t>
            </w:r>
            <w:r>
              <w:rPr>
                <w:color w:val="000000"/>
                <w:sz w:val="22"/>
                <w:szCs w:val="22"/>
              </w:rPr>
              <w:t>Tumore con dimensione maggiore uguale o inferiore a 4 cm, limitato al rene</w:t>
            </w:r>
          </w:p>
        </w:tc>
      </w:tr>
      <w:tr w:rsidR="00231B0C" w14:paraId="085AAA52"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114E6A8F"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T1b</w:t>
            </w:r>
            <w:r>
              <w:rPr>
                <w:color w:val="000000"/>
                <w:sz w:val="22"/>
                <w:szCs w:val="22"/>
              </w:rPr>
              <w:t xml:space="preserve"> Tumore con dimensione maggiore superiore a 4 cm, ma non superiore a 7 cm, limitato al rene</w:t>
            </w:r>
          </w:p>
        </w:tc>
      </w:tr>
      <w:tr w:rsidR="00231B0C" w14:paraId="00476467"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1944D260"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T2</w:t>
            </w:r>
            <w:r>
              <w:rPr>
                <w:color w:val="000000"/>
                <w:sz w:val="22"/>
                <w:szCs w:val="22"/>
              </w:rPr>
              <w:t xml:space="preserve"> Tumore con dimensione maggiore superiore a 7 cm, limitato al rene</w:t>
            </w:r>
          </w:p>
        </w:tc>
      </w:tr>
      <w:tr w:rsidR="00231B0C" w14:paraId="2801FBA3"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4DE36762"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 xml:space="preserve">T2a </w:t>
            </w:r>
            <w:r>
              <w:rPr>
                <w:color w:val="000000"/>
                <w:sz w:val="22"/>
                <w:szCs w:val="22"/>
              </w:rPr>
              <w:t>Tumore con dimensione maggiore superiore a 7 cm, ma inferiore o uguale a 10 cm, limitato al rene</w:t>
            </w:r>
          </w:p>
        </w:tc>
      </w:tr>
      <w:tr w:rsidR="00231B0C" w14:paraId="22B38346"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6F1F66B1"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 xml:space="preserve">T2b </w:t>
            </w:r>
            <w:r>
              <w:rPr>
                <w:color w:val="000000"/>
                <w:sz w:val="22"/>
                <w:szCs w:val="22"/>
              </w:rPr>
              <w:t>Tumore con dimensione maggiore superiore a 10 cm, limitato al rene</w:t>
            </w:r>
          </w:p>
        </w:tc>
      </w:tr>
      <w:tr w:rsidR="00231B0C" w14:paraId="6776202D"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5BBFC85B"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 xml:space="preserve">T3 </w:t>
            </w:r>
            <w:r>
              <w:rPr>
                <w:color w:val="000000"/>
                <w:sz w:val="22"/>
                <w:szCs w:val="22"/>
              </w:rPr>
              <w:t>Tumore che invade i vasi maggiori/il tessuto adiposo perinefrico, ma non attraversa la ghiandola surrenalica omolaterale e la fascia di Gerota</w:t>
            </w:r>
          </w:p>
        </w:tc>
      </w:tr>
      <w:tr w:rsidR="00231B0C" w14:paraId="0A19E752"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39BD4560"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 xml:space="preserve">T3a </w:t>
            </w:r>
            <w:r>
              <w:rPr>
                <w:color w:val="000000"/>
                <w:sz w:val="22"/>
                <w:szCs w:val="22"/>
              </w:rPr>
              <w:t xml:space="preserve">Tumore che invade la vena renale oppure i suoi vasi segmentari (con fibre muscolari) </w:t>
            </w:r>
          </w:p>
          <w:p w14:paraId="2D1B4459"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oppure che invade il tessuto adiposo perirenale o del seno renale ma che non supera la fascia di Gerota</w:t>
            </w:r>
          </w:p>
        </w:tc>
      </w:tr>
      <w:tr w:rsidR="00231B0C" w14:paraId="11FE8ED5"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1ECBF83A"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 xml:space="preserve">T3b </w:t>
            </w:r>
            <w:r>
              <w:rPr>
                <w:color w:val="000000"/>
                <w:sz w:val="22"/>
                <w:szCs w:val="22"/>
              </w:rPr>
              <w:t>Tumore che invade la vena cava al di sotto del diaframma</w:t>
            </w:r>
          </w:p>
        </w:tc>
      </w:tr>
      <w:tr w:rsidR="00231B0C" w14:paraId="1C28A01F"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6DBA38F9"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 xml:space="preserve">T3c </w:t>
            </w:r>
            <w:r>
              <w:rPr>
                <w:color w:val="000000"/>
                <w:sz w:val="22"/>
                <w:szCs w:val="22"/>
              </w:rPr>
              <w:t>Tumore che invade la vena cava al di sopra del diaframma o che infiltra la parete della vena cava inferiore</w:t>
            </w:r>
          </w:p>
        </w:tc>
      </w:tr>
      <w:tr w:rsidR="00231B0C" w14:paraId="7E0476E6"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5D937BE2"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T4</w:t>
            </w:r>
            <w:r>
              <w:rPr>
                <w:color w:val="000000"/>
                <w:sz w:val="22"/>
                <w:szCs w:val="22"/>
              </w:rPr>
              <w:t xml:space="preserve"> Tumore che supera la fascia di Gerota includendo l’estensione alla ghiandola surrenalica omolaterale</w:t>
            </w:r>
          </w:p>
        </w:tc>
      </w:tr>
      <w:tr w:rsidR="00231B0C" w14:paraId="4AAE67E2" w14:textId="77777777" w:rsidTr="00425A04">
        <w:trPr>
          <w:trHeight w:val="201"/>
          <w:jc w:val="center"/>
        </w:trPr>
        <w:tc>
          <w:tcPr>
            <w:tcW w:w="9356" w:type="dxa"/>
            <w:tcBorders>
              <w:top w:val="single" w:sz="4" w:space="0" w:color="000000"/>
              <w:left w:val="single" w:sz="4" w:space="0" w:color="000000"/>
              <w:bottom w:val="single" w:sz="4" w:space="0" w:color="000000"/>
              <w:right w:val="single" w:sz="4" w:space="0" w:color="000000"/>
            </w:tcBorders>
            <w:shd w:val="clear" w:color="auto" w:fill="F7A25B"/>
          </w:tcPr>
          <w:p w14:paraId="0C5241AE"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N -  Linfonodi regionali</w:t>
            </w:r>
          </w:p>
        </w:tc>
      </w:tr>
      <w:tr w:rsidR="00231B0C" w14:paraId="2810EBF1"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1FD4215F"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Nx</w:t>
            </w:r>
            <w:r>
              <w:rPr>
                <w:color w:val="000000"/>
                <w:sz w:val="22"/>
                <w:szCs w:val="22"/>
              </w:rPr>
              <w:t xml:space="preserve"> Non valutabili i linfonodi regionali</w:t>
            </w:r>
          </w:p>
        </w:tc>
      </w:tr>
      <w:tr w:rsidR="00231B0C" w14:paraId="03FE9E0E"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2C383965"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N0</w:t>
            </w:r>
            <w:r>
              <w:rPr>
                <w:color w:val="000000"/>
                <w:sz w:val="22"/>
                <w:szCs w:val="22"/>
              </w:rPr>
              <w:t xml:space="preserve"> Assenza di metastasi ai linfonodi regionali</w:t>
            </w:r>
          </w:p>
        </w:tc>
      </w:tr>
      <w:tr w:rsidR="00231B0C" w14:paraId="1ED3CD16"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5A0221B4"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N1</w:t>
            </w:r>
            <w:r>
              <w:rPr>
                <w:color w:val="000000"/>
                <w:sz w:val="22"/>
                <w:szCs w:val="22"/>
              </w:rPr>
              <w:t xml:space="preserve">  Metastasi ad uno linfonodo regionale</w:t>
            </w:r>
          </w:p>
        </w:tc>
      </w:tr>
      <w:tr w:rsidR="00231B0C" w14:paraId="56563ACA"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3E6F7E8A"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N2</w:t>
            </w:r>
            <w:r>
              <w:rPr>
                <w:color w:val="000000"/>
                <w:sz w:val="22"/>
                <w:szCs w:val="22"/>
              </w:rPr>
              <w:t xml:space="preserve">  Metastasi a più di un linfonodo regionale</w:t>
            </w:r>
          </w:p>
        </w:tc>
      </w:tr>
      <w:tr w:rsidR="00231B0C" w14:paraId="1A85B65F" w14:textId="77777777" w:rsidTr="00425A04">
        <w:trPr>
          <w:trHeight w:val="201"/>
          <w:jc w:val="center"/>
        </w:trPr>
        <w:tc>
          <w:tcPr>
            <w:tcW w:w="9356" w:type="dxa"/>
            <w:tcBorders>
              <w:top w:val="single" w:sz="4" w:space="0" w:color="000000"/>
              <w:left w:val="single" w:sz="4" w:space="0" w:color="000000"/>
              <w:bottom w:val="single" w:sz="4" w:space="0" w:color="000000"/>
              <w:right w:val="single" w:sz="4" w:space="0" w:color="000000"/>
            </w:tcBorders>
            <w:shd w:val="clear" w:color="auto" w:fill="F7A25B"/>
          </w:tcPr>
          <w:p w14:paraId="451A3C3C"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Definizione di metastasi a distanza (M)</w:t>
            </w:r>
          </w:p>
        </w:tc>
      </w:tr>
      <w:tr w:rsidR="00231B0C" w14:paraId="48F1C785"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16B2158F"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MX</w:t>
            </w:r>
            <w:r>
              <w:rPr>
                <w:color w:val="000000"/>
                <w:sz w:val="22"/>
                <w:szCs w:val="22"/>
              </w:rPr>
              <w:t xml:space="preserve"> Non valutabili le metastasi a distanza</w:t>
            </w:r>
          </w:p>
        </w:tc>
      </w:tr>
      <w:tr w:rsidR="00231B0C" w14:paraId="1337CE06"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7E801879"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M0</w:t>
            </w:r>
            <w:r>
              <w:rPr>
                <w:color w:val="000000"/>
                <w:sz w:val="22"/>
                <w:szCs w:val="22"/>
              </w:rPr>
              <w:t xml:space="preserve"> Metastasi a distanza assenti</w:t>
            </w:r>
          </w:p>
        </w:tc>
      </w:tr>
      <w:tr w:rsidR="00231B0C" w14:paraId="71C9F9A5" w14:textId="77777777">
        <w:trPr>
          <w:trHeight w:val="201"/>
          <w:jc w:val="center"/>
        </w:trPr>
        <w:tc>
          <w:tcPr>
            <w:tcW w:w="9356" w:type="dxa"/>
            <w:tcBorders>
              <w:top w:val="single" w:sz="4" w:space="0" w:color="000000"/>
              <w:left w:val="single" w:sz="4" w:space="0" w:color="000000"/>
              <w:bottom w:val="single" w:sz="4" w:space="0" w:color="000000"/>
              <w:right w:val="single" w:sz="4" w:space="0" w:color="000000"/>
            </w:tcBorders>
          </w:tcPr>
          <w:p w14:paraId="5EE77D97"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M1</w:t>
            </w:r>
            <w:r>
              <w:rPr>
                <w:color w:val="000000"/>
                <w:sz w:val="22"/>
                <w:szCs w:val="22"/>
              </w:rPr>
              <w:t xml:space="preserve">  Metastasi a distanza presenti</w:t>
            </w:r>
          </w:p>
        </w:tc>
      </w:tr>
    </w:tbl>
    <w:p w14:paraId="6C7B2F71" w14:textId="77777777" w:rsidR="00231B0C" w:rsidRDefault="00231B0C">
      <w:pPr>
        <w:pBdr>
          <w:top w:val="nil"/>
          <w:left w:val="nil"/>
          <w:bottom w:val="nil"/>
          <w:right w:val="nil"/>
          <w:between w:val="nil"/>
        </w:pBdr>
        <w:spacing w:line="360" w:lineRule="auto"/>
        <w:jc w:val="both"/>
        <w:rPr>
          <w:color w:val="000000"/>
          <w:sz w:val="24"/>
          <w:szCs w:val="24"/>
        </w:rPr>
      </w:pPr>
    </w:p>
    <w:p w14:paraId="4CD7EFAC"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lastRenderedPageBreak/>
        <w:t>Tabella 3. Stadiazione in accordo con la classificazione TNM 2010 (settima edizione- revisione 2010)</w:t>
      </w:r>
    </w:p>
    <w:p w14:paraId="13126970" w14:textId="77777777" w:rsidR="00231B0C" w:rsidRDefault="00231B0C">
      <w:pPr>
        <w:pBdr>
          <w:top w:val="nil"/>
          <w:left w:val="nil"/>
          <w:bottom w:val="nil"/>
          <w:right w:val="nil"/>
          <w:between w:val="nil"/>
        </w:pBdr>
        <w:spacing w:line="360" w:lineRule="auto"/>
        <w:jc w:val="both"/>
        <w:rPr>
          <w:color w:val="000000"/>
          <w:sz w:val="24"/>
          <w:szCs w:val="24"/>
        </w:rPr>
      </w:pPr>
    </w:p>
    <w:tbl>
      <w:tblPr>
        <w:tblStyle w:val="a2"/>
        <w:tblW w:w="64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2116"/>
        <w:gridCol w:w="1224"/>
        <w:gridCol w:w="1405"/>
      </w:tblGrid>
      <w:tr w:rsidR="00231B0C" w14:paraId="32D12D32" w14:textId="77777777" w:rsidTr="00425A04">
        <w:trPr>
          <w:trHeight w:val="225"/>
          <w:jc w:val="center"/>
        </w:trPr>
        <w:tc>
          <w:tcPr>
            <w:tcW w:w="1691" w:type="dxa"/>
            <w:shd w:val="clear" w:color="auto" w:fill="F7A25B"/>
            <w:tcMar>
              <w:top w:w="35" w:type="dxa"/>
              <w:left w:w="58" w:type="dxa"/>
              <w:bottom w:w="35" w:type="dxa"/>
              <w:right w:w="58" w:type="dxa"/>
            </w:tcMar>
          </w:tcPr>
          <w:p w14:paraId="446399E5"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STADIAZIONE</w:t>
            </w:r>
          </w:p>
        </w:tc>
        <w:tc>
          <w:tcPr>
            <w:tcW w:w="2116" w:type="dxa"/>
            <w:shd w:val="clear" w:color="auto" w:fill="F7A25B"/>
            <w:tcMar>
              <w:top w:w="35" w:type="dxa"/>
              <w:left w:w="58" w:type="dxa"/>
              <w:bottom w:w="35" w:type="dxa"/>
              <w:right w:w="58" w:type="dxa"/>
            </w:tcMar>
          </w:tcPr>
          <w:p w14:paraId="3C13C67A" w14:textId="77777777" w:rsidR="00231B0C" w:rsidRDefault="00231B0C">
            <w:pPr>
              <w:pBdr>
                <w:top w:val="nil"/>
                <w:left w:val="nil"/>
                <w:bottom w:val="nil"/>
                <w:right w:val="nil"/>
                <w:between w:val="nil"/>
              </w:pBdr>
              <w:spacing w:after="200" w:line="360" w:lineRule="auto"/>
              <w:ind w:left="1065"/>
              <w:rPr>
                <w:color w:val="000000"/>
                <w:sz w:val="22"/>
                <w:szCs w:val="22"/>
              </w:rPr>
            </w:pPr>
          </w:p>
        </w:tc>
        <w:tc>
          <w:tcPr>
            <w:tcW w:w="1224" w:type="dxa"/>
            <w:shd w:val="clear" w:color="auto" w:fill="F7A25B"/>
            <w:tcMar>
              <w:top w:w="35" w:type="dxa"/>
              <w:left w:w="58" w:type="dxa"/>
              <w:bottom w:w="35" w:type="dxa"/>
              <w:right w:w="58" w:type="dxa"/>
            </w:tcMar>
          </w:tcPr>
          <w:p w14:paraId="5DB1F974" w14:textId="77777777" w:rsidR="00231B0C" w:rsidRDefault="00231B0C">
            <w:pPr>
              <w:pBdr>
                <w:top w:val="nil"/>
                <w:left w:val="nil"/>
                <w:bottom w:val="nil"/>
                <w:right w:val="nil"/>
                <w:between w:val="nil"/>
              </w:pBdr>
              <w:spacing w:after="200" w:line="360" w:lineRule="auto"/>
              <w:ind w:left="1065"/>
              <w:rPr>
                <w:color w:val="000000"/>
                <w:sz w:val="22"/>
                <w:szCs w:val="22"/>
              </w:rPr>
            </w:pPr>
          </w:p>
        </w:tc>
        <w:tc>
          <w:tcPr>
            <w:tcW w:w="1405" w:type="dxa"/>
            <w:shd w:val="clear" w:color="auto" w:fill="F7A25B"/>
            <w:tcMar>
              <w:top w:w="35" w:type="dxa"/>
              <w:left w:w="58" w:type="dxa"/>
              <w:bottom w:w="35" w:type="dxa"/>
              <w:right w:w="58" w:type="dxa"/>
            </w:tcMar>
          </w:tcPr>
          <w:p w14:paraId="0FBBCDC1" w14:textId="77777777" w:rsidR="00231B0C" w:rsidRDefault="00231B0C">
            <w:pPr>
              <w:pBdr>
                <w:top w:val="nil"/>
                <w:left w:val="nil"/>
                <w:bottom w:val="nil"/>
                <w:right w:val="nil"/>
                <w:between w:val="nil"/>
              </w:pBdr>
              <w:spacing w:after="200" w:line="360" w:lineRule="auto"/>
              <w:ind w:left="1065"/>
              <w:rPr>
                <w:color w:val="000000"/>
                <w:sz w:val="22"/>
                <w:szCs w:val="22"/>
              </w:rPr>
            </w:pPr>
          </w:p>
        </w:tc>
      </w:tr>
      <w:tr w:rsidR="00231B0C" w14:paraId="4A7A7C12" w14:textId="77777777" w:rsidTr="00425A04">
        <w:trPr>
          <w:trHeight w:val="422"/>
          <w:jc w:val="center"/>
        </w:trPr>
        <w:tc>
          <w:tcPr>
            <w:tcW w:w="1691" w:type="dxa"/>
            <w:shd w:val="clear" w:color="auto" w:fill="FDE9D9"/>
            <w:tcMar>
              <w:top w:w="35" w:type="dxa"/>
              <w:left w:w="58" w:type="dxa"/>
              <w:bottom w:w="35" w:type="dxa"/>
              <w:right w:w="58" w:type="dxa"/>
            </w:tcMar>
          </w:tcPr>
          <w:p w14:paraId="1DBFA6F7"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Stadio I</w:t>
            </w:r>
          </w:p>
        </w:tc>
        <w:tc>
          <w:tcPr>
            <w:tcW w:w="2116" w:type="dxa"/>
            <w:shd w:val="clear" w:color="auto" w:fill="FDE9D9"/>
            <w:tcMar>
              <w:top w:w="35" w:type="dxa"/>
              <w:left w:w="58" w:type="dxa"/>
              <w:bottom w:w="35" w:type="dxa"/>
              <w:right w:w="58" w:type="dxa"/>
            </w:tcMar>
          </w:tcPr>
          <w:p w14:paraId="5C75165D"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T1</w:t>
            </w:r>
          </w:p>
        </w:tc>
        <w:tc>
          <w:tcPr>
            <w:tcW w:w="1224" w:type="dxa"/>
            <w:shd w:val="clear" w:color="auto" w:fill="FDE9D9"/>
            <w:tcMar>
              <w:top w:w="35" w:type="dxa"/>
              <w:left w:w="58" w:type="dxa"/>
              <w:bottom w:w="35" w:type="dxa"/>
              <w:right w:w="58" w:type="dxa"/>
            </w:tcMar>
          </w:tcPr>
          <w:p w14:paraId="12E7D650"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N0</w:t>
            </w:r>
          </w:p>
        </w:tc>
        <w:tc>
          <w:tcPr>
            <w:tcW w:w="1405" w:type="dxa"/>
            <w:shd w:val="clear" w:color="auto" w:fill="FDE9D9"/>
            <w:tcMar>
              <w:top w:w="35" w:type="dxa"/>
              <w:left w:w="58" w:type="dxa"/>
              <w:bottom w:w="35" w:type="dxa"/>
              <w:right w:w="58" w:type="dxa"/>
            </w:tcMar>
          </w:tcPr>
          <w:p w14:paraId="63157D72"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M0</w:t>
            </w:r>
          </w:p>
        </w:tc>
      </w:tr>
      <w:tr w:rsidR="00231B0C" w14:paraId="558E5275" w14:textId="77777777" w:rsidTr="00425A04">
        <w:trPr>
          <w:trHeight w:val="341"/>
          <w:jc w:val="center"/>
        </w:trPr>
        <w:tc>
          <w:tcPr>
            <w:tcW w:w="1691" w:type="dxa"/>
            <w:tcMar>
              <w:top w:w="35" w:type="dxa"/>
              <w:left w:w="58" w:type="dxa"/>
              <w:bottom w:w="35" w:type="dxa"/>
              <w:right w:w="58" w:type="dxa"/>
            </w:tcMar>
          </w:tcPr>
          <w:p w14:paraId="57F68977"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Stadio II</w:t>
            </w:r>
          </w:p>
        </w:tc>
        <w:tc>
          <w:tcPr>
            <w:tcW w:w="2116" w:type="dxa"/>
            <w:tcMar>
              <w:top w:w="35" w:type="dxa"/>
              <w:left w:w="58" w:type="dxa"/>
              <w:bottom w:w="35" w:type="dxa"/>
              <w:right w:w="58" w:type="dxa"/>
            </w:tcMar>
          </w:tcPr>
          <w:p w14:paraId="28048CA6"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T2</w:t>
            </w:r>
          </w:p>
        </w:tc>
        <w:tc>
          <w:tcPr>
            <w:tcW w:w="1224" w:type="dxa"/>
            <w:tcMar>
              <w:top w:w="35" w:type="dxa"/>
              <w:left w:w="58" w:type="dxa"/>
              <w:bottom w:w="35" w:type="dxa"/>
              <w:right w:w="58" w:type="dxa"/>
            </w:tcMar>
          </w:tcPr>
          <w:p w14:paraId="51947DCB"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N0</w:t>
            </w:r>
          </w:p>
        </w:tc>
        <w:tc>
          <w:tcPr>
            <w:tcW w:w="1405" w:type="dxa"/>
            <w:tcMar>
              <w:top w:w="35" w:type="dxa"/>
              <w:left w:w="58" w:type="dxa"/>
              <w:bottom w:w="35" w:type="dxa"/>
              <w:right w:w="58" w:type="dxa"/>
            </w:tcMar>
          </w:tcPr>
          <w:p w14:paraId="48AAA525"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M0</w:t>
            </w:r>
          </w:p>
        </w:tc>
      </w:tr>
      <w:tr w:rsidR="00231B0C" w14:paraId="31E20004" w14:textId="77777777" w:rsidTr="00425A04">
        <w:trPr>
          <w:trHeight w:val="333"/>
          <w:jc w:val="center"/>
        </w:trPr>
        <w:tc>
          <w:tcPr>
            <w:tcW w:w="1691" w:type="dxa"/>
            <w:shd w:val="clear" w:color="auto" w:fill="FDE9D9"/>
            <w:tcMar>
              <w:top w:w="35" w:type="dxa"/>
              <w:left w:w="58" w:type="dxa"/>
              <w:bottom w:w="35" w:type="dxa"/>
              <w:right w:w="58" w:type="dxa"/>
            </w:tcMar>
          </w:tcPr>
          <w:p w14:paraId="4FFE406C"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Stadio III</w:t>
            </w:r>
          </w:p>
        </w:tc>
        <w:tc>
          <w:tcPr>
            <w:tcW w:w="2116" w:type="dxa"/>
            <w:shd w:val="clear" w:color="auto" w:fill="FDE9D9"/>
            <w:tcMar>
              <w:top w:w="35" w:type="dxa"/>
              <w:left w:w="58" w:type="dxa"/>
              <w:bottom w:w="35" w:type="dxa"/>
              <w:right w:w="58" w:type="dxa"/>
            </w:tcMar>
          </w:tcPr>
          <w:p w14:paraId="67FA5AFB"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T3</w:t>
            </w:r>
          </w:p>
          <w:p w14:paraId="0A8130AB"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T1, T2, T3</w:t>
            </w:r>
          </w:p>
        </w:tc>
        <w:tc>
          <w:tcPr>
            <w:tcW w:w="1224" w:type="dxa"/>
            <w:shd w:val="clear" w:color="auto" w:fill="FDE9D9"/>
            <w:tcMar>
              <w:top w:w="35" w:type="dxa"/>
              <w:left w:w="58" w:type="dxa"/>
              <w:bottom w:w="35" w:type="dxa"/>
              <w:right w:w="58" w:type="dxa"/>
            </w:tcMar>
          </w:tcPr>
          <w:p w14:paraId="1934CFAA"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N0</w:t>
            </w:r>
          </w:p>
          <w:p w14:paraId="1A0F616F"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N1</w:t>
            </w:r>
          </w:p>
        </w:tc>
        <w:tc>
          <w:tcPr>
            <w:tcW w:w="1405" w:type="dxa"/>
            <w:shd w:val="clear" w:color="auto" w:fill="FDE9D9"/>
            <w:tcMar>
              <w:top w:w="35" w:type="dxa"/>
              <w:left w:w="58" w:type="dxa"/>
              <w:bottom w:w="35" w:type="dxa"/>
              <w:right w:w="58" w:type="dxa"/>
            </w:tcMar>
          </w:tcPr>
          <w:p w14:paraId="5B19AD66"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M0</w:t>
            </w:r>
          </w:p>
          <w:p w14:paraId="031E063D"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M0</w:t>
            </w:r>
          </w:p>
        </w:tc>
      </w:tr>
      <w:tr w:rsidR="00231B0C" w14:paraId="0ADA0796" w14:textId="77777777" w:rsidTr="00425A04">
        <w:trPr>
          <w:trHeight w:val="325"/>
          <w:jc w:val="center"/>
        </w:trPr>
        <w:tc>
          <w:tcPr>
            <w:tcW w:w="1691" w:type="dxa"/>
            <w:tcMar>
              <w:top w:w="35" w:type="dxa"/>
              <w:left w:w="58" w:type="dxa"/>
              <w:bottom w:w="35" w:type="dxa"/>
              <w:right w:w="58" w:type="dxa"/>
            </w:tcMar>
          </w:tcPr>
          <w:p w14:paraId="46277997" w14:textId="77777777" w:rsidR="00231B0C" w:rsidRDefault="008D7880">
            <w:pPr>
              <w:pBdr>
                <w:top w:val="nil"/>
                <w:left w:val="nil"/>
                <w:bottom w:val="nil"/>
                <w:right w:val="nil"/>
                <w:between w:val="nil"/>
              </w:pBdr>
              <w:spacing w:line="360" w:lineRule="auto"/>
              <w:rPr>
                <w:color w:val="000000"/>
                <w:sz w:val="22"/>
                <w:szCs w:val="22"/>
              </w:rPr>
            </w:pPr>
            <w:r>
              <w:rPr>
                <w:b/>
                <w:color w:val="000000"/>
                <w:sz w:val="22"/>
                <w:szCs w:val="22"/>
              </w:rPr>
              <w:t>Stadio IV</w:t>
            </w:r>
          </w:p>
        </w:tc>
        <w:tc>
          <w:tcPr>
            <w:tcW w:w="2116" w:type="dxa"/>
            <w:tcMar>
              <w:top w:w="35" w:type="dxa"/>
              <w:left w:w="58" w:type="dxa"/>
              <w:bottom w:w="35" w:type="dxa"/>
              <w:right w:w="58" w:type="dxa"/>
            </w:tcMar>
          </w:tcPr>
          <w:p w14:paraId="7370620E"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T4</w:t>
            </w:r>
          </w:p>
          <w:p w14:paraId="396EA8E0"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Ogni T </w:t>
            </w:r>
          </w:p>
          <w:p w14:paraId="65516187"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Ogni T</w:t>
            </w:r>
          </w:p>
        </w:tc>
        <w:tc>
          <w:tcPr>
            <w:tcW w:w="1224" w:type="dxa"/>
            <w:tcMar>
              <w:top w:w="35" w:type="dxa"/>
              <w:left w:w="58" w:type="dxa"/>
              <w:bottom w:w="35" w:type="dxa"/>
              <w:right w:w="58" w:type="dxa"/>
            </w:tcMar>
          </w:tcPr>
          <w:p w14:paraId="7E17752B"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Ogni N </w:t>
            </w:r>
          </w:p>
          <w:p w14:paraId="64F6FFDC"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N2</w:t>
            </w:r>
          </w:p>
          <w:p w14:paraId="72C283E5"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Ogni N</w:t>
            </w:r>
          </w:p>
        </w:tc>
        <w:tc>
          <w:tcPr>
            <w:tcW w:w="1405" w:type="dxa"/>
            <w:tcMar>
              <w:top w:w="35" w:type="dxa"/>
              <w:left w:w="58" w:type="dxa"/>
              <w:bottom w:w="35" w:type="dxa"/>
              <w:right w:w="58" w:type="dxa"/>
            </w:tcMar>
          </w:tcPr>
          <w:p w14:paraId="2B4AD464"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M0</w:t>
            </w:r>
          </w:p>
          <w:p w14:paraId="70C2BEE4"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M0 </w:t>
            </w:r>
          </w:p>
          <w:p w14:paraId="7A22245D"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M1</w:t>
            </w:r>
          </w:p>
        </w:tc>
      </w:tr>
    </w:tbl>
    <w:p w14:paraId="6961CC72"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67ED3224"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1A96B2B"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2B810D2A"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0E2D51C"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smallCaps/>
          <w:color w:val="000000"/>
          <w:sz w:val="24"/>
          <w:szCs w:val="24"/>
        </w:rPr>
        <w:t>PERCORSO TERAPEUTICO DELLA NEOPLASIA RENALE LOCALIZZATA</w:t>
      </w:r>
    </w:p>
    <w:p w14:paraId="69164645"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692C0A0"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smallCaps/>
          <w:color w:val="000000"/>
          <w:sz w:val="24"/>
          <w:szCs w:val="24"/>
        </w:rPr>
        <w:t>C</w:t>
      </w:r>
      <w:r>
        <w:rPr>
          <w:b/>
          <w:color w:val="000000"/>
          <w:sz w:val="24"/>
          <w:szCs w:val="24"/>
        </w:rPr>
        <w:t>hirurgia</w:t>
      </w:r>
    </w:p>
    <w:p w14:paraId="16F481C2"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L’approccio chirurgico rappresenta l’unico trattamento curativo disponibile nella malattia localizzata. Gli interventi chirurgici per tumore renale dovrebbero essere concentrati in reparti urologici di riferimento. Il numero minimo auspicabile di interventi chirurgici (nefrectomie parziali + nefrectomie radicali) è di 30/anno per Unità operativa di Urologia. La Nefrectomia Radicale consiste nell’asportazione chirurgica del rene neoplastico, con dissezione extrafasciale (esterna alla fascia di Gerota), con accesso primario al peduncolo vascolare e legatura e sezione dell’arteria renale alla emergenza. </w:t>
      </w:r>
    </w:p>
    <w:p w14:paraId="3D22BBD4"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L’asportazione del surrene omolaterale non va effettuata se non c’è evidenza radiologica di invasione così come una linfoadenectomia estesa non va effettuata nei pazienti con malattia localizzata. </w:t>
      </w:r>
    </w:p>
    <w:p w14:paraId="788C9160"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La chirurgia</w:t>
      </w:r>
      <w:r>
        <w:rPr>
          <w:i/>
          <w:color w:val="000000"/>
          <w:sz w:val="24"/>
          <w:szCs w:val="24"/>
        </w:rPr>
        <w:t xml:space="preserve"> </w:t>
      </w:r>
      <w:r>
        <w:rPr>
          <w:b/>
          <w:i/>
          <w:color w:val="000000"/>
          <w:sz w:val="24"/>
          <w:szCs w:val="24"/>
        </w:rPr>
        <w:t>Nephron Sparing</w:t>
      </w:r>
      <w:r>
        <w:rPr>
          <w:color w:val="000000"/>
          <w:sz w:val="24"/>
          <w:szCs w:val="24"/>
        </w:rPr>
        <w:t xml:space="preserve"> consiste nell’asportazione della neoformazione preservando il restante parenchima renale: può essere una </w:t>
      </w:r>
      <w:r>
        <w:rPr>
          <w:b/>
          <w:i/>
          <w:color w:val="000000"/>
          <w:sz w:val="24"/>
          <w:szCs w:val="24"/>
        </w:rPr>
        <w:t>enucleo-resezione</w:t>
      </w:r>
      <w:r>
        <w:rPr>
          <w:color w:val="000000"/>
          <w:sz w:val="24"/>
          <w:szCs w:val="24"/>
        </w:rPr>
        <w:t xml:space="preserve"> (asportazione della neoformazione con una rima di parenchima sano circostante), o una </w:t>
      </w:r>
      <w:r>
        <w:rPr>
          <w:b/>
          <w:i/>
          <w:color w:val="000000"/>
          <w:sz w:val="24"/>
          <w:szCs w:val="24"/>
        </w:rPr>
        <w:t>enucleazione</w:t>
      </w:r>
      <w:r>
        <w:rPr>
          <w:color w:val="000000"/>
          <w:sz w:val="24"/>
          <w:szCs w:val="24"/>
        </w:rPr>
        <w:t xml:space="preserve"> (asportazione della neoformazione seguendo il piano di clivaggio della pseudo-capsula), o di una </w:t>
      </w:r>
      <w:r>
        <w:rPr>
          <w:b/>
          <w:i/>
          <w:color w:val="000000"/>
          <w:sz w:val="24"/>
          <w:szCs w:val="24"/>
        </w:rPr>
        <w:t>resezione polare</w:t>
      </w:r>
      <w:r>
        <w:rPr>
          <w:color w:val="000000"/>
          <w:sz w:val="24"/>
          <w:szCs w:val="24"/>
        </w:rPr>
        <w:t xml:space="preserve"> o </w:t>
      </w:r>
      <w:r>
        <w:rPr>
          <w:b/>
          <w:i/>
          <w:color w:val="000000"/>
          <w:sz w:val="24"/>
          <w:szCs w:val="24"/>
        </w:rPr>
        <w:t>a</w:t>
      </w:r>
      <w:r>
        <w:rPr>
          <w:color w:val="000000"/>
          <w:sz w:val="24"/>
          <w:szCs w:val="24"/>
        </w:rPr>
        <w:t xml:space="preserve"> </w:t>
      </w:r>
      <w:r>
        <w:rPr>
          <w:b/>
          <w:i/>
          <w:color w:val="000000"/>
          <w:sz w:val="24"/>
          <w:szCs w:val="24"/>
        </w:rPr>
        <w:t>cuneo</w:t>
      </w:r>
      <w:r>
        <w:rPr>
          <w:color w:val="000000"/>
          <w:sz w:val="24"/>
          <w:szCs w:val="24"/>
        </w:rPr>
        <w:t xml:space="preserve"> (asportazione della neoformazione assieme a un polo renale o un cuneo di parenchima sano). </w:t>
      </w:r>
    </w:p>
    <w:p w14:paraId="43B1F627" w14:textId="30DFF1E7" w:rsidR="00231B0C" w:rsidRDefault="002D4C02">
      <w:pPr>
        <w:pBdr>
          <w:top w:val="nil"/>
          <w:left w:val="nil"/>
          <w:bottom w:val="nil"/>
          <w:right w:val="nil"/>
          <w:between w:val="nil"/>
        </w:pBdr>
        <w:tabs>
          <w:tab w:val="left" w:pos="1055"/>
        </w:tabs>
        <w:spacing w:line="360" w:lineRule="auto"/>
        <w:jc w:val="both"/>
        <w:rPr>
          <w:color w:val="000000"/>
          <w:sz w:val="24"/>
          <w:szCs w:val="24"/>
        </w:rPr>
      </w:pPr>
      <w:r w:rsidRPr="002D4C02">
        <w:rPr>
          <w:color w:val="000000"/>
          <w:sz w:val="24"/>
          <w:szCs w:val="24"/>
        </w:rPr>
        <w:lastRenderedPageBreak/>
        <w:t>La chirurgia renale conservativa laparoscopica e robotica trova in questo momento le stesse indicazioni delle tecniche chirurgiche conservative open con outcomes oncologici e complicanze intra-operatorie sovrapponibili, tuttavia le tecniche mini-invasive sono associate ad una riduzione del tempo di degenza e delle perdite ematiche rispetto all'approccio open</w:t>
      </w:r>
    </w:p>
    <w:p w14:paraId="1D3D0DC3"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Oggi, il trattamento </w:t>
      </w:r>
      <w:r>
        <w:rPr>
          <w:b/>
          <w:color w:val="000000"/>
          <w:sz w:val="24"/>
          <w:szCs w:val="24"/>
        </w:rPr>
        <w:t>nefron sparing</w:t>
      </w:r>
      <w:r>
        <w:rPr>
          <w:color w:val="000000"/>
          <w:sz w:val="24"/>
          <w:szCs w:val="24"/>
        </w:rPr>
        <w:t xml:space="preserve"> in elezione è riservato ai casi di lesione renale T1 a e b senza registrare differenze nella morbilità peri operatoria e nella mortalità cancro specifica rispetto al trattamento radicale. Pertanto, laddove chirurgicamente fattibile, l’enucleoresezione di lesioni renali T1 rappresenta la prima scelta terapeutica. In questi casi, non è stata riscontrata una differenza statisticamente significativa in termini oncologici rispetto al trattamento chirurgico radicale ma con minor impatto sul danno cronico renale, sul rischio cardiovascolare e sulla mortalità.</w:t>
      </w:r>
    </w:p>
    <w:p w14:paraId="4A45B247"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Le tecniche </w:t>
      </w:r>
      <w:r>
        <w:rPr>
          <w:b/>
          <w:color w:val="000000"/>
          <w:sz w:val="24"/>
          <w:szCs w:val="24"/>
        </w:rPr>
        <w:t>nefron sparing</w:t>
      </w:r>
      <w:r>
        <w:rPr>
          <w:color w:val="000000"/>
          <w:sz w:val="24"/>
          <w:szCs w:val="24"/>
        </w:rPr>
        <w:t xml:space="preserve"> possono essere suggerite anche ad un paziente T2, se tecnicamente fattibile, in un paziente monorene chirurgico o funzionale, tumori renali bilaterali o insufficienza renale cronica con sufficiente parenchima funzionale che permetta di mantenere una sufficiente funzione renale post operatoria.</w:t>
      </w:r>
    </w:p>
    <w:p w14:paraId="6ED52FB9"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Il paziente è considerato “non candidabile” </w:t>
      </w:r>
      <w:r>
        <w:rPr>
          <w:i/>
          <w:color w:val="000000"/>
          <w:sz w:val="24"/>
          <w:szCs w:val="24"/>
        </w:rPr>
        <w:t>(unfit)</w:t>
      </w:r>
      <w:r>
        <w:rPr>
          <w:color w:val="000000"/>
          <w:sz w:val="24"/>
          <w:szCs w:val="24"/>
        </w:rPr>
        <w:t xml:space="preserve"> a chirurgia se in possesso di almeno una delle seguenti caratteristiche:</w:t>
      </w:r>
    </w:p>
    <w:p w14:paraId="0394B58F" w14:textId="77777777" w:rsidR="00231B0C" w:rsidRDefault="008D7880">
      <w:pPr>
        <w:numPr>
          <w:ilvl w:val="0"/>
          <w:numId w:val="4"/>
        </w:num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età avanzata</w:t>
      </w:r>
    </w:p>
    <w:p w14:paraId="7B05F168" w14:textId="77777777" w:rsidR="00231B0C" w:rsidRDefault="008D7880">
      <w:pPr>
        <w:numPr>
          <w:ilvl w:val="0"/>
          <w:numId w:val="4"/>
        </w:num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alto rischio operatorio</w:t>
      </w:r>
    </w:p>
    <w:p w14:paraId="2E0B2768" w14:textId="77777777" w:rsidR="00231B0C" w:rsidRDefault="008D7880">
      <w:pPr>
        <w:numPr>
          <w:ilvl w:val="0"/>
          <w:numId w:val="4"/>
        </w:num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rifiuto da parte del paziente alla chirurgia</w:t>
      </w:r>
    </w:p>
    <w:p w14:paraId="7CF387BC" w14:textId="77777777" w:rsidR="00231B0C" w:rsidRDefault="00231B0C">
      <w:pPr>
        <w:pBdr>
          <w:top w:val="nil"/>
          <w:left w:val="nil"/>
          <w:bottom w:val="nil"/>
          <w:right w:val="nil"/>
          <w:between w:val="nil"/>
        </w:pBdr>
        <w:tabs>
          <w:tab w:val="left" w:pos="1055"/>
        </w:tabs>
        <w:spacing w:line="360" w:lineRule="auto"/>
        <w:ind w:left="360"/>
        <w:jc w:val="both"/>
        <w:rPr>
          <w:color w:val="000000"/>
          <w:sz w:val="24"/>
          <w:szCs w:val="24"/>
        </w:rPr>
      </w:pPr>
    </w:p>
    <w:p w14:paraId="25AB3807"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In questi casi la sorveglianza attiva potrebbe essere un’opzione da considerare dopo esecuzione, laddove possibile, di una biopsia renale per escludere la presenza di fattori prognostici negativi, come grading elevato o componente sarcomatoide.</w:t>
      </w:r>
    </w:p>
    <w:p w14:paraId="34911A6B"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3DAF455A"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color w:val="000000"/>
          <w:sz w:val="24"/>
          <w:szCs w:val="24"/>
        </w:rPr>
        <w:t>Terapie Loco-Regionali</w:t>
      </w:r>
    </w:p>
    <w:p w14:paraId="0804564E"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La terapia ablativa (radiofrequenza, micro-onde o crioterapia, radioterapia stereotassica) rappresenta un approccio alternativo per i pazienti con neoplasia renale cT1. A causa di un numero maggiore di recidive locali per le lesioni &gt; cm 3 rispetto alla chirurgia viene proposta principalmente a pazienti con comorbidità (spesso anziani) che rendono controindicata la chirurgia nephron sparing, a pazienti con precedenti chirurgie renali, monorene o nei trapiantati renali. </w:t>
      </w:r>
    </w:p>
    <w:p w14:paraId="296FA230"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Nei pazienti con lesioni fino a cm 3 i risultati sono comparabili alla chirurgia purchè la procedura sia eseguita in mani esperte con tecnologia completa di imaging (US, CEUS, TC, CBCT) e di trattamento anche combinato con terapia intra-vascolare, con possibilità di eseguire immediata valutazione della risposta terapeutica. Le lesioni renali a sviluppo esofitico sono sicuramente quelle più accessibili e </w:t>
      </w:r>
      <w:r>
        <w:rPr>
          <w:color w:val="000000"/>
          <w:sz w:val="24"/>
          <w:szCs w:val="24"/>
        </w:rPr>
        <w:lastRenderedPageBreak/>
        <w:t xml:space="preserve">sicure in termini di complicanze. Dati più recenti e non ancora considerati nelle linee guida riportano un tasso di recidiva locale nei pazienti criotrattati per neoplasia renale cT1 (&lt; 7 cm) sovrapponibili a quelli sottoposti ad intervento chirurgico di enucleoresezione. </w:t>
      </w:r>
    </w:p>
    <w:p w14:paraId="3AADD997"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Tutte le terapie ablative sono precedute da biopsie preliminari o contestuali, al fine di confermare la natura neoplastica della lesione trattata. </w:t>
      </w:r>
    </w:p>
    <w:p w14:paraId="3A813AA4"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Il trattamento di embolizzazione renale selettiva trova l’indicazione principale nel tumore localmente avanzato con ematuria con alto tasso di risoluzione del sintomo.</w:t>
      </w:r>
    </w:p>
    <w:p w14:paraId="0AB375AE"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La radioterapia stereotassica (SBRT) su lesione primitiva renale può essere presa in considerazione per i pazienti inoperabili o che non possono essere (o rifiutano) sottoposti ad altre forme di trattamenti locali.</w:t>
      </w:r>
    </w:p>
    <w:p w14:paraId="21B64E5C"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Pazienti con localizzazioni di malattia sintomatica alle ossa o in altre sedi (fegato, polmone) possono trarre beneficio da trattamenti locali come termoablazione (crioterapia, RFA, MWA) embolizzazione, cementoplastica. Le terapie locoregionali (ablative, cementoplastica, ECT) possono essere sempre proposte nei casi di persistenza di dolore da secondarismi ossei intrattabile dopo Radioterapia e/o non responsivo a terapia medica.</w:t>
      </w:r>
    </w:p>
    <w:p w14:paraId="69E8D119"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La decisione di sottoporre i pazienti a questi trattamenti dovrebbe sempre essere condivisa a livello multidisciplinare soprattutto in relazione all’estensione di malattia, spettanza di vita del paziente e alternative terapeutiche disponibili.</w:t>
      </w:r>
    </w:p>
    <w:p w14:paraId="23AA9655"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62560415"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color w:val="000000"/>
          <w:sz w:val="24"/>
          <w:szCs w:val="24"/>
        </w:rPr>
        <w:t>Terapia medica</w:t>
      </w:r>
    </w:p>
    <w:p w14:paraId="04EED59F" w14:textId="2087E098" w:rsidR="00231B0C" w:rsidRDefault="008D7880">
      <w:pPr>
        <w:pBdr>
          <w:top w:val="nil"/>
          <w:left w:val="nil"/>
          <w:bottom w:val="nil"/>
          <w:right w:val="nil"/>
          <w:between w:val="nil"/>
        </w:pBdr>
        <w:shd w:val="clear" w:color="auto" w:fill="FFFFFF"/>
        <w:spacing w:after="280" w:line="360" w:lineRule="auto"/>
        <w:jc w:val="both"/>
        <w:rPr>
          <w:color w:val="000000"/>
          <w:sz w:val="24"/>
          <w:szCs w:val="24"/>
        </w:rPr>
      </w:pPr>
      <w:r>
        <w:rPr>
          <w:color w:val="000000"/>
          <w:sz w:val="24"/>
          <w:szCs w:val="24"/>
        </w:rPr>
        <w:t xml:space="preserve">Molti sforzi sono stati fatti negli ultimi 30 anni per sviluppare un’efficace e pragmatica strategia per il trattamento adiuvante del RCC. Il trattamento chemioterapico e la radioterapia non si sono rivelati strategie efficaci nell’approccio terapeutico adiuvante del carcinoma renale a cellule chiare. La terapia a bersaglio molecolare ha fallito nel dimostrare un vantaggio in sopravvivenza. Per quanto riguarda i farmaci inibitori tirosina-chinasi (TKI), solo un trial (S-TRAC) aveva dato evidenza di un miglioramento con il Sunitinib in Disease Free Survival (DFS) ma senza un vantaggio in termini di sopravvivenza a fronte di un profilo di tossicità importante. </w:t>
      </w:r>
      <w:r w:rsidR="00C15DB9" w:rsidRPr="00C15DB9">
        <w:rPr>
          <w:color w:val="000000"/>
          <w:sz w:val="24"/>
          <w:szCs w:val="24"/>
        </w:rPr>
        <w:t xml:space="preserve">Lo studio Keynote-564, pubblicato sul </w:t>
      </w:r>
      <w:r w:rsidR="00C15DB9" w:rsidRPr="00425A04">
        <w:rPr>
          <w:color w:val="000000"/>
          <w:sz w:val="24"/>
          <w:szCs w:val="24"/>
        </w:rPr>
        <w:t>New England Journal of Medicine</w:t>
      </w:r>
      <w:r w:rsidR="00C15DB9" w:rsidRPr="00C15DB9">
        <w:rPr>
          <w:color w:val="000000"/>
          <w:sz w:val="24"/>
          <w:szCs w:val="24"/>
        </w:rPr>
        <w:t xml:space="preserve"> nel 2021, ha valutato l'efficacia del pembrolizumab alla dose di 200 mg ogni 3 settimane per un totale di 17 cicli (circa un anno) in 994 pazienti. Il trattamento è stato avviato entro 12 settimane dalla chirurgia radicale in soggetti con carcinoma a cellule chiare del rene classificati a rischio intermedio-alto o alto (definito come pT2G4 o presenza di componente sarcomatoide con N0, pT3–T4 di qualsiasi grado con N0, oppure qualsiasi pT e grado con N+), nonché in pazienti senza evidenza di malattia (M1NED) successivamente a metastasectomia.</w:t>
      </w:r>
      <w:r>
        <w:rPr>
          <w:color w:val="000000"/>
          <w:sz w:val="24"/>
          <w:szCs w:val="24"/>
        </w:rPr>
        <w:t xml:space="preserve">I risultati indicano un miglioramento statisticamente significativo in DFS con un 22% dei pazienti che avevano </w:t>
      </w:r>
      <w:r>
        <w:rPr>
          <w:color w:val="000000"/>
          <w:sz w:val="24"/>
          <w:szCs w:val="24"/>
        </w:rPr>
        <w:lastRenderedPageBreak/>
        <w:t xml:space="preserve">un evento nel braccio con pembrolizumab verso il 30% in quelli con placebo (HR, 0.68; </w:t>
      </w:r>
      <w:r>
        <w:rPr>
          <w:i/>
          <w:color w:val="000000"/>
          <w:sz w:val="24"/>
          <w:szCs w:val="24"/>
        </w:rPr>
        <w:t>P</w:t>
      </w:r>
      <w:r>
        <w:rPr>
          <w:color w:val="000000"/>
          <w:sz w:val="24"/>
          <w:szCs w:val="24"/>
        </w:rPr>
        <w:t> = .001). FDA americana ha approvato a fine 2021 il Pembrolizumab come terapia adiuvante. All’ASCO GU 2024 sono stati presentati i dati aggiornati in sopravvivenza con evidenza di una riduzione del rischio di morte del 38% nei pazienti che hanno ricevuto Pembrolizumab adiuvante rispetto al braccio placebo, confermando così il Keynote-564 come il primo studio in grado di mostrare un vantaggio in Overall Survival (OS) di un trattamento adiuvante nel carcinoma renale. A luglio 2023 l’AIFA ha autorizzato la rimborsabilità del Pembrolizumab con la sola indicazione per i pazienti sottoposti a metastasectomia entro un anno dalla nefrectomia (M1NED). A febbraio 2025 AIFA ha esteso la rimborsabilità del Pembrolizumab anche ai pazienti con carcinoma a cellule renali a rischio intermedio-alto o alto di recidiva a seguito di nefrectomia</w:t>
      </w:r>
      <w:r w:rsidR="00B81CA9">
        <w:rPr>
          <w:color w:val="000000"/>
          <w:sz w:val="24"/>
          <w:szCs w:val="24"/>
        </w:rPr>
        <w:t xml:space="preserve"> (Tab 4.) </w:t>
      </w:r>
      <w:r w:rsidR="00BA16BB">
        <w:rPr>
          <w:color w:val="000000"/>
          <w:sz w:val="24"/>
          <w:szCs w:val="24"/>
        </w:rPr>
        <w:t xml:space="preserve">Sebbene AIFA consenta l’utilizzo di Pembrolizumab anche in paziente con istologia non a cellule chiare, una raccomandazione in tal senso non può essere formulata, non essendo questa popolazione stata inclusa nello studio registrativo Keynote-564. </w:t>
      </w:r>
      <w:r>
        <w:rPr>
          <w:color w:val="000000"/>
          <w:sz w:val="24"/>
          <w:szCs w:val="24"/>
        </w:rPr>
        <w:t xml:space="preserve">Nei pazienti affetti da neoplasia renale localmente avanzata non suscettibile di chirurgia con intento curativo al momento della diagnosi, la terapia sistemica con farmaci a bersaglio molecolare può essere presa in considerazione al fine di permettere la sotto-stadiazione del tumore primario e la riduzione di fattori pro-angiogenetici </w:t>
      </w:r>
    </w:p>
    <w:p w14:paraId="0CD5CCA1" w14:textId="4E256725" w:rsidR="00B81CA9" w:rsidRPr="00180B75" w:rsidRDefault="00B81CA9">
      <w:pPr>
        <w:pBdr>
          <w:top w:val="nil"/>
          <w:left w:val="nil"/>
          <w:bottom w:val="nil"/>
          <w:right w:val="nil"/>
          <w:between w:val="nil"/>
        </w:pBdr>
        <w:shd w:val="clear" w:color="auto" w:fill="FFFFFF"/>
        <w:spacing w:after="280" w:line="360" w:lineRule="auto"/>
        <w:jc w:val="both"/>
        <w:rPr>
          <w:b/>
          <w:bCs/>
          <w:color w:val="000000"/>
          <w:sz w:val="24"/>
          <w:szCs w:val="24"/>
        </w:rPr>
      </w:pPr>
      <w:r w:rsidRPr="00180B75">
        <w:rPr>
          <w:b/>
          <w:bCs/>
          <w:color w:val="000000"/>
          <w:sz w:val="24"/>
          <w:szCs w:val="24"/>
        </w:rPr>
        <w:t xml:space="preserve">Tabella 4. </w:t>
      </w:r>
      <w:r w:rsidR="00180B75" w:rsidRPr="00180B75">
        <w:rPr>
          <w:b/>
          <w:bCs/>
          <w:color w:val="000000"/>
          <w:sz w:val="24"/>
          <w:szCs w:val="24"/>
        </w:rPr>
        <w:t>Paziente eleggibili di trattamento adiuvante</w:t>
      </w:r>
    </w:p>
    <w:p w14:paraId="0D1E96C3" w14:textId="71107261" w:rsidR="00B81CA9" w:rsidRDefault="00B81CA9">
      <w:pPr>
        <w:pBdr>
          <w:top w:val="nil"/>
          <w:left w:val="nil"/>
          <w:bottom w:val="nil"/>
          <w:right w:val="nil"/>
          <w:between w:val="nil"/>
        </w:pBdr>
        <w:shd w:val="clear" w:color="auto" w:fill="FFFFFF"/>
        <w:spacing w:after="280" w:line="360" w:lineRule="auto"/>
        <w:jc w:val="both"/>
        <w:rPr>
          <w:color w:val="000000"/>
          <w:sz w:val="24"/>
          <w:szCs w:val="24"/>
        </w:rPr>
      </w:pPr>
      <w:r>
        <w:rPr>
          <w:b/>
          <w:noProof/>
        </w:rPr>
        <w:drawing>
          <wp:inline distT="0" distB="0" distL="0" distR="0" wp14:anchorId="1F00F517" wp14:editId="190B6106">
            <wp:extent cx="6116320" cy="3815878"/>
            <wp:effectExtent l="0" t="0" r="17780" b="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D9C286A" w14:textId="6AC77293" w:rsidR="00B81CA9" w:rsidRDefault="00B81CA9">
      <w:pPr>
        <w:pBdr>
          <w:top w:val="nil"/>
          <w:left w:val="nil"/>
          <w:bottom w:val="nil"/>
          <w:right w:val="nil"/>
          <w:between w:val="nil"/>
        </w:pBdr>
        <w:shd w:val="clear" w:color="auto" w:fill="FFFFFF"/>
        <w:spacing w:after="280" w:line="360" w:lineRule="auto"/>
        <w:jc w:val="both"/>
        <w:rPr>
          <w:color w:val="000000"/>
          <w:sz w:val="24"/>
          <w:szCs w:val="24"/>
        </w:rPr>
      </w:pPr>
    </w:p>
    <w:p w14:paraId="0DC24652" w14:textId="77777777" w:rsidR="00B81CA9" w:rsidRDefault="00B81CA9">
      <w:pPr>
        <w:pBdr>
          <w:top w:val="nil"/>
          <w:left w:val="nil"/>
          <w:bottom w:val="nil"/>
          <w:right w:val="nil"/>
          <w:between w:val="nil"/>
        </w:pBdr>
        <w:shd w:val="clear" w:color="auto" w:fill="FFFFFF"/>
        <w:spacing w:after="280" w:line="360" w:lineRule="auto"/>
        <w:jc w:val="both"/>
        <w:rPr>
          <w:color w:val="000000"/>
          <w:sz w:val="24"/>
          <w:szCs w:val="24"/>
        </w:rPr>
      </w:pPr>
    </w:p>
    <w:p w14:paraId="5985D62E"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7E767CFF"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smallCaps/>
          <w:color w:val="000000"/>
          <w:sz w:val="24"/>
          <w:szCs w:val="24"/>
        </w:rPr>
        <w:t>PERCORSO TERAPEUTICO DELLA NEOPLASIA RENALE AVANZATA</w:t>
      </w:r>
    </w:p>
    <w:p w14:paraId="22A63E1F" w14:textId="1939D7CC"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La tabella </w:t>
      </w:r>
      <w:r w:rsidR="00B81CA9">
        <w:rPr>
          <w:color w:val="000000"/>
          <w:sz w:val="24"/>
          <w:szCs w:val="24"/>
        </w:rPr>
        <w:t>5</w:t>
      </w:r>
      <w:r>
        <w:rPr>
          <w:color w:val="000000"/>
          <w:sz w:val="24"/>
          <w:szCs w:val="24"/>
        </w:rPr>
        <w:t xml:space="preserve"> indica gli esami suggeriti nella malattia avanzata </w:t>
      </w:r>
    </w:p>
    <w:p w14:paraId="5EA9EBEC" w14:textId="77777777" w:rsidR="00231B0C" w:rsidRDefault="00231B0C">
      <w:pPr>
        <w:pBdr>
          <w:top w:val="nil"/>
          <w:left w:val="nil"/>
          <w:bottom w:val="nil"/>
          <w:right w:val="nil"/>
          <w:between w:val="nil"/>
        </w:pBdr>
        <w:spacing w:line="360" w:lineRule="auto"/>
        <w:jc w:val="both"/>
        <w:rPr>
          <w:color w:val="000000"/>
          <w:sz w:val="24"/>
          <w:szCs w:val="24"/>
        </w:rPr>
      </w:pPr>
    </w:p>
    <w:p w14:paraId="37CCB392" w14:textId="22533B24"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xml:space="preserve">Tabella </w:t>
      </w:r>
      <w:r w:rsidR="00B81CA9">
        <w:rPr>
          <w:b/>
          <w:color w:val="000000"/>
          <w:sz w:val="24"/>
          <w:szCs w:val="24"/>
        </w:rPr>
        <w:t>5</w:t>
      </w:r>
      <w:r>
        <w:rPr>
          <w:b/>
          <w:color w:val="000000"/>
          <w:sz w:val="24"/>
          <w:szCs w:val="24"/>
        </w:rPr>
        <w:t>. Esami strumentali nella malattia avanzata</w:t>
      </w:r>
    </w:p>
    <w:tbl>
      <w:tblPr>
        <w:tblStyle w:val="a3"/>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231B0C" w14:paraId="3E5542F1" w14:textId="77777777" w:rsidTr="00425A04">
        <w:tc>
          <w:tcPr>
            <w:tcW w:w="4819" w:type="dxa"/>
            <w:shd w:val="clear" w:color="auto" w:fill="FDE4D0"/>
          </w:tcPr>
          <w:p w14:paraId="4311C506"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TC addome completo con mdc</w:t>
            </w:r>
          </w:p>
        </w:tc>
        <w:tc>
          <w:tcPr>
            <w:tcW w:w="4819" w:type="dxa"/>
            <w:shd w:val="clear" w:color="auto" w:fill="FDE4D0"/>
          </w:tcPr>
          <w:p w14:paraId="1BC060FB"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Appropriata </w:t>
            </w:r>
          </w:p>
        </w:tc>
      </w:tr>
      <w:tr w:rsidR="00231B0C" w14:paraId="47E2A860" w14:textId="77777777" w:rsidTr="00425A04">
        <w:tc>
          <w:tcPr>
            <w:tcW w:w="4819" w:type="dxa"/>
            <w:shd w:val="clear" w:color="auto" w:fill="FBCAA2"/>
          </w:tcPr>
          <w:p w14:paraId="67F5F582"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TC torace (con o senza mdc)</w:t>
            </w:r>
          </w:p>
        </w:tc>
        <w:tc>
          <w:tcPr>
            <w:tcW w:w="4819" w:type="dxa"/>
            <w:shd w:val="clear" w:color="auto" w:fill="FBCAA2"/>
          </w:tcPr>
          <w:p w14:paraId="61D873E3"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Appropriata </w:t>
            </w:r>
          </w:p>
        </w:tc>
      </w:tr>
      <w:tr w:rsidR="00231B0C" w14:paraId="3D423E70" w14:textId="77777777" w:rsidTr="00425A04">
        <w:tc>
          <w:tcPr>
            <w:tcW w:w="4819" w:type="dxa"/>
            <w:shd w:val="clear" w:color="auto" w:fill="FDE4D0"/>
          </w:tcPr>
          <w:p w14:paraId="5D624DB4"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RM addome completo con mdc</w:t>
            </w:r>
          </w:p>
        </w:tc>
        <w:tc>
          <w:tcPr>
            <w:tcW w:w="4819" w:type="dxa"/>
            <w:shd w:val="clear" w:color="auto" w:fill="FDE4D0"/>
          </w:tcPr>
          <w:p w14:paraId="1F4BE2A3"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Appropriata in casi selezionati</w:t>
            </w:r>
          </w:p>
        </w:tc>
      </w:tr>
      <w:tr w:rsidR="00231B0C" w14:paraId="171D5333" w14:textId="77777777" w:rsidTr="00425A04">
        <w:tc>
          <w:tcPr>
            <w:tcW w:w="4819" w:type="dxa"/>
            <w:shd w:val="clear" w:color="auto" w:fill="FBCAA2"/>
          </w:tcPr>
          <w:p w14:paraId="31622382"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Scintigrafia ossea</w:t>
            </w:r>
          </w:p>
        </w:tc>
        <w:tc>
          <w:tcPr>
            <w:tcW w:w="4819" w:type="dxa"/>
            <w:shd w:val="clear" w:color="auto" w:fill="FBCAA2"/>
          </w:tcPr>
          <w:p w14:paraId="1CF8FD62"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Appropriata </w:t>
            </w:r>
          </w:p>
        </w:tc>
      </w:tr>
      <w:tr w:rsidR="00231B0C" w14:paraId="0AFD1B42" w14:textId="77777777" w:rsidTr="00425A04">
        <w:tc>
          <w:tcPr>
            <w:tcW w:w="4819" w:type="dxa"/>
            <w:shd w:val="clear" w:color="auto" w:fill="FDE4D0"/>
          </w:tcPr>
          <w:p w14:paraId="5B0D80A6"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RM encefalo*</w:t>
            </w:r>
          </w:p>
        </w:tc>
        <w:tc>
          <w:tcPr>
            <w:tcW w:w="4819" w:type="dxa"/>
            <w:shd w:val="clear" w:color="auto" w:fill="FDE4D0"/>
          </w:tcPr>
          <w:p w14:paraId="300D5831"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Appropriata in casi selezionati</w:t>
            </w:r>
          </w:p>
        </w:tc>
      </w:tr>
      <w:tr w:rsidR="00231B0C" w14:paraId="5E9704DF" w14:textId="77777777" w:rsidTr="00425A04">
        <w:tc>
          <w:tcPr>
            <w:tcW w:w="4819" w:type="dxa"/>
            <w:shd w:val="clear" w:color="auto" w:fill="FBCAA2"/>
          </w:tcPr>
          <w:p w14:paraId="2B0B6315"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PET total body </w:t>
            </w:r>
          </w:p>
        </w:tc>
        <w:tc>
          <w:tcPr>
            <w:tcW w:w="4819" w:type="dxa"/>
            <w:shd w:val="clear" w:color="auto" w:fill="FBCAA2"/>
          </w:tcPr>
          <w:p w14:paraId="6EE4E7A1"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 xml:space="preserve">Inappropriata </w:t>
            </w:r>
          </w:p>
        </w:tc>
      </w:tr>
    </w:tbl>
    <w:p w14:paraId="62A2C2BD"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xml:space="preserve">* </w:t>
      </w:r>
      <w:r>
        <w:rPr>
          <w:color w:val="000000"/>
          <w:sz w:val="24"/>
          <w:szCs w:val="24"/>
        </w:rPr>
        <w:t>in caso di sintomatologia cerebrale</w:t>
      </w:r>
    </w:p>
    <w:p w14:paraId="1915C3CD"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Il paziente può arrivare all’Oncologo inviato dal Medico di Medicina Generale, dall’Urologia e da altre Unità Operative come Medicina interna e Chirurgia generale oppure a seguito di accesso in Pronto Soccorso per sintomi acuti. Nel caso dell’Urologia, la diagnosi di malattia metastatica può avvenire sia in un paziente precedentemente operato e seguito in follow-up post-operatorio che in un paziente al primo riscontro di massa renale. </w:t>
      </w:r>
    </w:p>
    <w:p w14:paraId="73053B9A"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Si stima che circa il 40-50% di tutti i pazienti con carcinoma renale presentino malattia metastatica, a volte già presente al momento della diagnosi (malattia sincrona)  (circa 20% dei casi) oppure negli anni successivi al trattamento locale, fino anche a oltre 30 anni dalla diagnosi.</w:t>
      </w:r>
    </w:p>
    <w:p w14:paraId="2ACC82A0"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Salvo i pazienti con localizzazioni singole potenzialmente resecabili che possono guarire con il trattamento chirurgico, il carcinoma renale metastatico è considerato non guaribile ad eccezione dei pazienti con localizzazioni singole potenzialmente resecabili, in quanto  in tutti gli studi condotti con i trattamenti sistemici attuali (inibitori tirosin chinasici, mTOR inibitori, anticorpi anti VEGF, immunoterapia con inibitori di PD1) il tasso di remissione completa duratura è molto basso, con una sopravvivenza mediana che in studi recenti ha superato i 30 mesi.</w:t>
      </w:r>
    </w:p>
    <w:p w14:paraId="02BBFB63"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 Esistono svariati sistemi di classificazione prognostica per il paziente con tumore renale metastatico, fra cui il più recente è il modello di HENG, basato sulla presenza dei seguenti fattori prognostici sfavorevoli: </w:t>
      </w:r>
    </w:p>
    <w:p w14:paraId="00A7AE7B" w14:textId="77777777" w:rsidR="00231B0C" w:rsidRDefault="008D788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 xml:space="preserve">Performance status secondo Karnofsky uguale o inferiore a 80, </w:t>
      </w:r>
    </w:p>
    <w:p w14:paraId="3BDD49ED" w14:textId="77777777" w:rsidR="00231B0C" w:rsidRDefault="008D788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 xml:space="preserve">Tempo intercorso fra diagnosi e comparsa di metastasi inferiore a 12 mesi, </w:t>
      </w:r>
    </w:p>
    <w:p w14:paraId="3369DE23" w14:textId="77777777" w:rsidR="00231B0C" w:rsidRDefault="008D788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 xml:space="preserve">Ipercalcemia (calcemia corretta su livelli di albumina), </w:t>
      </w:r>
    </w:p>
    <w:p w14:paraId="7F7BB1AA" w14:textId="77777777" w:rsidR="00231B0C" w:rsidRDefault="008D788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 xml:space="preserve">Anemia (emoglobina inferiore al valore normale), </w:t>
      </w:r>
    </w:p>
    <w:p w14:paraId="475BB580" w14:textId="77777777" w:rsidR="00231B0C" w:rsidRDefault="008D788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Neutrofilia (neutrofili superiori al valore normale), </w:t>
      </w:r>
    </w:p>
    <w:p w14:paraId="244EDB53" w14:textId="77777777" w:rsidR="00231B0C" w:rsidRDefault="008D788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Piastrinosi (piastrine superiori al valore normale).</w:t>
      </w:r>
    </w:p>
    <w:p w14:paraId="0040C13E" w14:textId="77777777" w:rsidR="00231B0C" w:rsidRDefault="00231B0C">
      <w:pPr>
        <w:pBdr>
          <w:top w:val="nil"/>
          <w:left w:val="nil"/>
          <w:bottom w:val="nil"/>
          <w:right w:val="nil"/>
          <w:between w:val="nil"/>
        </w:pBdr>
        <w:spacing w:line="360" w:lineRule="auto"/>
        <w:jc w:val="both"/>
        <w:rPr>
          <w:color w:val="000000"/>
          <w:sz w:val="24"/>
          <w:szCs w:val="24"/>
        </w:rPr>
      </w:pPr>
    </w:p>
    <w:p w14:paraId="4F4222F1"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I pazienti a buona prognosi (nessun fattore di rischio), intermedia (da 1 a 2 fattori) o sfavorevole (3 o più fattori) hanno una mediana di sopravvivenza stimata di 43.2, 22.5 e 7.8 mesi, rispettivamente. Questo algoritmo prognostico mantiene la sua validità anche nei pazienti che iniziano una seconda linea di trattamento sistemico, con mediana di sopravvivenza di 35.8, 16.6, e 5.4 mesi, rispettivamente.</w:t>
      </w:r>
    </w:p>
    <w:p w14:paraId="374352F7"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Le principali opzioni terapeutiche per i pazienti con malattia metastatica sono rappresentate dai trattamenti sistemici oncologici, integrati ove possibile con trattamenti chirurgici (sul tumore primitivo e/o sulle metastasi) e loco-regionali (radioterapia, termoablazione, crioablazione, etc). </w:t>
      </w:r>
    </w:p>
    <w:p w14:paraId="2CD2A6AC"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La radioterapia trova indicazione nella palliazione delle metastasi ossee e cerebrali per le quali è stato inoltre osservato l’effetto ABSCOPAL (ovvero una risposta delle lesioni tumorali distanti da quella irradiata nei pazienti trattati con immunoterapia)</w:t>
      </w:r>
    </w:p>
    <w:p w14:paraId="2850DF44"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In considerazione della molteplicità di opzioni e di specialisti coinvolti, l’approccio multidisciplinare integrato è la migliore garanzia di qualità e di efficienza del percorso diagnostico-terapeutico e assistenziale per i pazienti affetti da carcinomi del rene. Tale approccio permette oggi un trattamento personalizzato sulle caratteristiche biologiche della malattia e sulle condizioni specifiche del singolo individuo, oltre a garantire l’accesso a tutte le opzioni di cura disponibili indipendentemente dal primo specialista che vede il paziente.</w:t>
      </w:r>
    </w:p>
    <w:p w14:paraId="4191F1D2"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La strategia di cura del tumore del rene è multimodale (figure coinvolte: oncologo ed urologo).</w:t>
      </w:r>
    </w:p>
    <w:p w14:paraId="16F6CF05"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Essa dipende dallo </w:t>
      </w:r>
      <w:r>
        <w:rPr>
          <w:b/>
          <w:i/>
          <w:color w:val="000000"/>
          <w:sz w:val="24"/>
          <w:szCs w:val="24"/>
        </w:rPr>
        <w:t>stadio di malattia</w:t>
      </w:r>
      <w:r>
        <w:rPr>
          <w:color w:val="000000"/>
          <w:sz w:val="24"/>
          <w:szCs w:val="24"/>
        </w:rPr>
        <w:t xml:space="preserve"> (localizzata o avanzata), dall’</w:t>
      </w:r>
      <w:r>
        <w:rPr>
          <w:b/>
          <w:i/>
          <w:color w:val="000000"/>
          <w:sz w:val="24"/>
          <w:szCs w:val="24"/>
        </w:rPr>
        <w:t xml:space="preserve">istologia del tumore </w:t>
      </w:r>
      <w:r>
        <w:rPr>
          <w:color w:val="000000"/>
          <w:sz w:val="24"/>
          <w:szCs w:val="24"/>
        </w:rPr>
        <w:t xml:space="preserve">(cellule chiare vs altri istotipi), dalla </w:t>
      </w:r>
      <w:r>
        <w:rPr>
          <w:b/>
          <w:i/>
          <w:color w:val="000000"/>
          <w:sz w:val="24"/>
          <w:szCs w:val="24"/>
        </w:rPr>
        <w:t>categoria di rischio</w:t>
      </w:r>
      <w:r>
        <w:rPr>
          <w:color w:val="000000"/>
          <w:sz w:val="24"/>
          <w:szCs w:val="24"/>
        </w:rPr>
        <w:t xml:space="preserve"> (favorevole 0 criteri, intermedio 1-2 criteri, sfavorevole &gt;2 criteri) dai  </w:t>
      </w:r>
      <w:r>
        <w:rPr>
          <w:b/>
          <w:i/>
          <w:color w:val="000000"/>
          <w:sz w:val="24"/>
          <w:szCs w:val="24"/>
        </w:rPr>
        <w:t xml:space="preserve">fattori prognostici di Heng </w:t>
      </w:r>
      <w:r>
        <w:rPr>
          <w:color w:val="000000"/>
          <w:sz w:val="24"/>
          <w:szCs w:val="24"/>
        </w:rPr>
        <w:t xml:space="preserve">(performance status sec Karnofsky &lt; 80%, livello di emoglobina &lt; limite inferiore del range di normalità, calcio plasmatico corretto &gt; limite superiore del range di normalità, periodo dalla diagnosi al trattamento &lt; 1 anno, conta assoluta dei neutrofili &gt; limite superiore del range di normalità, conta piastrinica &gt; limite superiore del range di normalità). </w:t>
      </w:r>
    </w:p>
    <w:p w14:paraId="1570C278"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21E12C4B"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smallCaps/>
          <w:color w:val="000000"/>
          <w:sz w:val="24"/>
          <w:szCs w:val="24"/>
        </w:rPr>
        <w:t>C</w:t>
      </w:r>
      <w:r>
        <w:rPr>
          <w:b/>
          <w:color w:val="000000"/>
          <w:sz w:val="24"/>
          <w:szCs w:val="24"/>
        </w:rPr>
        <w:t>hirurgia</w:t>
      </w:r>
    </w:p>
    <w:p w14:paraId="566D03A6" w14:textId="6B6ED0DE"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Qualora il tumore renale si manifesti all’esordio in fase metastatica, si ritiene indicato procedere comunque alla rimozione chirurgica del tumore primitivo in casi selezionati</w:t>
      </w:r>
      <w:r w:rsidR="0022386E">
        <w:rPr>
          <w:color w:val="000000"/>
          <w:sz w:val="24"/>
          <w:szCs w:val="24"/>
        </w:rPr>
        <w:t xml:space="preserve"> e previa discussione al GOM. </w:t>
      </w:r>
      <w:r>
        <w:rPr>
          <w:color w:val="000000"/>
          <w:sz w:val="24"/>
          <w:szCs w:val="24"/>
        </w:rPr>
        <w:t xml:space="preserve">Nei restanti si proporrà la NC nei pz in risposta ad un trattamento di prima linea. </w:t>
      </w:r>
    </w:p>
    <w:p w14:paraId="2F31DF4E"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lastRenderedPageBreak/>
        <w:t xml:space="preserve">Pazienti con Performance Status scaduto, esteso carico di malattia sistemica in vari organi, o gravi comorbidità, traggono minore beneficio dalla nefrectomia con conseguente ritardo nell’inizio della terapia sistemica; in questi casi è preferibile effettuare la biopsia, iniziare un trattamento sistemico e rivalutare l’ipotesi chirurgica in caso di risposta e miglioramento clinico. </w:t>
      </w:r>
    </w:p>
    <w:p w14:paraId="275091AC"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Pazienti sintomatici per il tumore primitivo (ematuria e/o dolore) hanno indicazione più stringente alla nefrectomia allo scopo di controllare i sintomi. Pazienti con uno o pochi siti di malattia metastatica (soprattutto se a sede polmonare), con risposta duratura al trattamento sistemico, possono essere valutati per resezione chirurgica della malattia metastatica, possibilmente sempre con intento di radicalità oncologica. </w:t>
      </w:r>
    </w:p>
    <w:p w14:paraId="58F14142"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Pazienti metastatici alla diagnosi non candidabili a nefrectomia oppure pazienti che sviluppano sospette lesioni metastatiche dopo un pregresso intervento per tumore renale possono essere candidati ad eseguire una biopsia per conferma istologica e, se possibile, definizione dell’istotipo.</w:t>
      </w:r>
    </w:p>
    <w:p w14:paraId="3A616FA5"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4704F1A5"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smallCaps/>
          <w:color w:val="000000"/>
          <w:sz w:val="24"/>
          <w:szCs w:val="24"/>
        </w:rPr>
        <w:t>T</w:t>
      </w:r>
      <w:r>
        <w:rPr>
          <w:b/>
          <w:color w:val="000000"/>
          <w:sz w:val="24"/>
          <w:szCs w:val="24"/>
        </w:rPr>
        <w:t xml:space="preserve">erapia medica </w:t>
      </w:r>
    </w:p>
    <w:p w14:paraId="23B72594" w14:textId="77777777" w:rsidR="00231B0C" w:rsidRDefault="008D7880">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Gli obiettivi principali del trattamento sono quelli di prolungare la sopravvivenza, ridurre o posticipare l’insorgenza dei sintomi legati alla malattia, di migliorare la qualità della vita.</w:t>
      </w:r>
    </w:p>
    <w:p w14:paraId="4429620D" w14:textId="77777777" w:rsidR="00231B0C" w:rsidRDefault="008D7880">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 xml:space="preserve">Fino all’avvento degli inibitori di PD1-PDL1 i farmaci utilizzati come trattamento di prima linea erano gli agenti antiangiogenici a somministrazione orale (Sunitinib, Pazopanib, per i pazienti a basso, intermedio ed alto rischio ed il cabozantinib per i pazienti a rischio intermedio/sfavorevole. </w:t>
      </w:r>
    </w:p>
    <w:p w14:paraId="02A36AE9" w14:textId="77777777" w:rsidR="00231B0C" w:rsidRDefault="008D7880">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Tuttavia recenti studi randomizzati hanno dimostrato la superiorità in termini di risposte obiettive, sopravvivenza libera da progressione e sopravvivenza globale delle combinazioni Pembrolizumab-Axitinib, Cabozantinib-Nivolumab, Pembrolizumab-Lenvatinib, Ipilimumab-Nivolumab rispetto alla sola terapia a bersaglio molecolare (Sunitinib).</w:t>
      </w:r>
    </w:p>
    <w:p w14:paraId="52492C7C" w14:textId="77777777" w:rsidR="00231B0C" w:rsidRDefault="008D7880">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Pembrolizumab-Axitinib, Nivolumab-Cabozantinib e Pembrolizumab–Lenvatinib sono attualmente rimborsati in Italia in tutte le classi di rischio mentre la combinazione di Ipilimumab-Nivolumab si è dimostrata efficace nei pazienti a prognosi intermedia/sfavorevole e prevalentemente nella variante sarcomatoide.</w:t>
      </w:r>
    </w:p>
    <w:p w14:paraId="5C3C6199" w14:textId="77777777" w:rsidR="00231B0C" w:rsidRDefault="008D7880">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 xml:space="preserve">Gli inibitori Tirosino chinasi in monoterapia, con l’avvento dell’immunoterapia in prima linea, sono utilizzati in seconda linea; tuttavia possono rappresentare una opzione in prima linea per i pazienti intolleranti alla immunoterapia, con numerose comorbidità ed a buona prognosi con basso carico di malattia. </w:t>
      </w:r>
    </w:p>
    <w:p w14:paraId="1378FF2E" w14:textId="154FD707" w:rsidR="00231B0C" w:rsidRDefault="008D7880">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Al momento non esistono biomarkers per selezionare la terapia più corretta. Un</w:t>
      </w:r>
      <w:r w:rsidR="0022386E">
        <w:rPr>
          <w:color w:val="000000"/>
          <w:sz w:val="24"/>
          <w:szCs w:val="24"/>
        </w:rPr>
        <w:t>a</w:t>
      </w:r>
      <w:r>
        <w:rPr>
          <w:color w:val="000000"/>
          <w:sz w:val="24"/>
          <w:szCs w:val="24"/>
        </w:rPr>
        <w:t xml:space="preserve"> recente metaanalisi pubblicata su European Urology ha confermato il vantaggio delle combinazioni di immunoterapia come trattamento di prima linea nei pazienti PDL1 positivi sottolineando come tale </w:t>
      </w:r>
      <w:r>
        <w:rPr>
          <w:color w:val="000000"/>
          <w:sz w:val="24"/>
          <w:szCs w:val="24"/>
        </w:rPr>
        <w:lastRenderedPageBreak/>
        <w:t>vantaggio non sarebbe statisticamente significativo nei PDL1 negativi. Tuttavia al momento il ruolo di PD1/PDL1 come biomarcatore predittivo è ancora dibattuto e non è routinariamente utilizzato. Approvato da EMA ma non rimborsato in Italia è il Tivozanib, indicato come trattamento di I linea oppure in II linea dopo citochine.</w:t>
      </w:r>
    </w:p>
    <w:p w14:paraId="23E23DF6" w14:textId="77777777" w:rsidR="00231B0C" w:rsidRDefault="008D7880">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L’introduzione dei farmaci biologici e immunologici nell’armamentario terapeutico del carcinoma renale metastatico (mRCC) ha determinato notevoli risultati in termini di efficacia ma ha anche documentato una serie di effetti collaterali nuovi o inusuali che meritano una corretta gestione al fine di preservare la qualità di vita del paziente e permettere la continuità di cura. Un controllo proattivo degli effetti collaterali permette di massimizzare l’</w:t>
      </w:r>
      <w:r>
        <w:rPr>
          <w:i/>
          <w:color w:val="000000"/>
          <w:sz w:val="24"/>
          <w:szCs w:val="24"/>
        </w:rPr>
        <w:t xml:space="preserve">outcome </w:t>
      </w:r>
      <w:r>
        <w:rPr>
          <w:color w:val="000000"/>
          <w:sz w:val="24"/>
          <w:szCs w:val="24"/>
        </w:rPr>
        <w:t>clinico.</w:t>
      </w:r>
    </w:p>
    <w:p w14:paraId="396FCD53"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La scelta del trattamento viene stabilita in base a: </w:t>
      </w:r>
    </w:p>
    <w:p w14:paraId="1124C385"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 xml:space="preserve">andamento ed estensione della malattia metastatica, </w:t>
      </w:r>
    </w:p>
    <w:p w14:paraId="4A6D7B0A"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 xml:space="preserve">caratteristiche istologiche e molecolari di malattia, </w:t>
      </w:r>
    </w:p>
    <w:p w14:paraId="65161189"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classe prognostica di Heng,</w:t>
      </w:r>
    </w:p>
    <w:p w14:paraId="1AABABFC"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 xml:space="preserve">presenza e intensità di sintomi legati alla malattia, </w:t>
      </w:r>
    </w:p>
    <w:p w14:paraId="46F195A6"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 xml:space="preserve">condizioni generali e autonomia funzionale del paziente, </w:t>
      </w:r>
    </w:p>
    <w:p w14:paraId="3D06D680"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 xml:space="preserve">comorbidità ed età del paziente, </w:t>
      </w:r>
    </w:p>
    <w:p w14:paraId="4A5FB422"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 xml:space="preserve">terapia farmacologica concomitante, </w:t>
      </w:r>
    </w:p>
    <w:p w14:paraId="548E48B4"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 xml:space="preserve">risposta e tolleranza ai trattamenti precedenti, </w:t>
      </w:r>
    </w:p>
    <w:p w14:paraId="7187FEC0" w14:textId="77777777"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 xml:space="preserve">preferenza del paziente in relazione ai possibili effetti collaterali attesi dei diversi agenti, </w:t>
      </w:r>
    </w:p>
    <w:p w14:paraId="0944F208" w14:textId="1898BF9A" w:rsidR="00231B0C" w:rsidRDefault="008D7880">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disponibilità di trial clinico.</w:t>
      </w:r>
    </w:p>
    <w:p w14:paraId="3505CE23"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3AC1D527"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Poiché la malattia metastatica non ha un andamento univoco, in casi selezionati può essere indicato posticipare l’inizio delle terapie sistemiche ed effettuare un secondo controllo clinico/radiologico a distanza di circa 3 mesi per valutare la velocità di evoluzione della malattia. </w:t>
      </w:r>
    </w:p>
    <w:p w14:paraId="391B1B1A"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I pazienti candidabili ad attesa terapeutica hanno in genere una o più delle seguenti caratteristiche:</w:t>
      </w:r>
    </w:p>
    <w:p w14:paraId="5FEB776E" w14:textId="77777777" w:rsidR="00231B0C" w:rsidRDefault="008D788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 xml:space="preserve">Lungo intervallo libero dalla nefrectomia </w:t>
      </w:r>
    </w:p>
    <w:p w14:paraId="67519FA2" w14:textId="77777777" w:rsidR="00231B0C" w:rsidRDefault="008D788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 xml:space="preserve">Basso carico di malattia/unico organo coinvolto </w:t>
      </w:r>
    </w:p>
    <w:p w14:paraId="4166008A" w14:textId="77777777" w:rsidR="00231B0C" w:rsidRDefault="008D788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 xml:space="preserve">Bassa velocità di crescita delle lesioni (&lt; 10% in 4 mesi) </w:t>
      </w:r>
    </w:p>
    <w:p w14:paraId="012F7D30" w14:textId="77777777" w:rsidR="00231B0C" w:rsidRDefault="008D788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 xml:space="preserve">Assenza di sintomi legati alla malattia </w:t>
      </w:r>
    </w:p>
    <w:p w14:paraId="15E23FC1" w14:textId="77777777" w:rsidR="00231B0C" w:rsidRDefault="008D788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Paziente in grado di comprendere vantaggi e rischi dell’attesa terapeutica</w:t>
      </w:r>
    </w:p>
    <w:p w14:paraId="23B49420" w14:textId="77777777" w:rsidR="00231B0C" w:rsidRDefault="00231B0C">
      <w:pPr>
        <w:pBdr>
          <w:top w:val="nil"/>
          <w:left w:val="nil"/>
          <w:bottom w:val="nil"/>
          <w:right w:val="nil"/>
          <w:between w:val="nil"/>
        </w:pBdr>
        <w:spacing w:line="360" w:lineRule="auto"/>
        <w:jc w:val="both"/>
        <w:rPr>
          <w:color w:val="000000"/>
          <w:sz w:val="24"/>
          <w:szCs w:val="24"/>
        </w:rPr>
      </w:pPr>
    </w:p>
    <w:p w14:paraId="61A359C4"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L’algoritmo terapeutico per le terapie sistemiche registrate nel carcinoma renale è il seguente: </w:t>
      </w:r>
    </w:p>
    <w:p w14:paraId="52B796FF" w14:textId="569AE5A1" w:rsidR="00231B0C" w:rsidRDefault="00231B0C">
      <w:pPr>
        <w:pBdr>
          <w:top w:val="nil"/>
          <w:left w:val="nil"/>
          <w:bottom w:val="nil"/>
          <w:right w:val="nil"/>
          <w:between w:val="nil"/>
        </w:pBdr>
        <w:spacing w:line="360" w:lineRule="auto"/>
        <w:jc w:val="both"/>
        <w:rPr>
          <w:color w:val="000000"/>
          <w:sz w:val="24"/>
          <w:szCs w:val="24"/>
        </w:rPr>
      </w:pPr>
    </w:p>
    <w:p w14:paraId="68288E40" w14:textId="7F8C44B4" w:rsidR="00231B0C" w:rsidRDefault="00AC123D">
      <w:pPr>
        <w:pBdr>
          <w:top w:val="nil"/>
          <w:left w:val="nil"/>
          <w:bottom w:val="nil"/>
          <w:right w:val="nil"/>
          <w:between w:val="nil"/>
        </w:pBdr>
        <w:spacing w:line="360" w:lineRule="auto"/>
        <w:jc w:val="both"/>
        <w:rPr>
          <w:color w:val="000000"/>
          <w:sz w:val="24"/>
          <w:szCs w:val="24"/>
        </w:rPr>
      </w:pPr>
      <w:r>
        <w:rPr>
          <w:b/>
          <w:noProof/>
          <w:position w:val="-1"/>
          <w:sz w:val="28"/>
          <w:szCs w:val="28"/>
        </w:rPr>
        <w:lastRenderedPageBreak/>
        <mc:AlternateContent>
          <mc:Choice Requires="wpg">
            <w:drawing>
              <wp:anchor distT="0" distB="0" distL="114300" distR="114300" simplePos="0" relativeHeight="251670528" behindDoc="0" locked="0" layoutInCell="1" allowOverlap="1" wp14:anchorId="3660D1BC" wp14:editId="4334A952">
                <wp:simplePos x="0" y="0"/>
                <wp:positionH relativeFrom="margin">
                  <wp:align>left</wp:align>
                </wp:positionH>
                <wp:positionV relativeFrom="paragraph">
                  <wp:posOffset>265430</wp:posOffset>
                </wp:positionV>
                <wp:extent cx="6330950" cy="4362450"/>
                <wp:effectExtent l="0" t="0" r="12700" b="19050"/>
                <wp:wrapNone/>
                <wp:docPr id="1984229566" name="Gruppo 25"/>
                <wp:cNvGraphicFramePr/>
                <a:graphic xmlns:a="http://schemas.openxmlformats.org/drawingml/2006/main">
                  <a:graphicData uri="http://schemas.microsoft.com/office/word/2010/wordprocessingGroup">
                    <wpg:wgp>
                      <wpg:cNvGrpSpPr/>
                      <wpg:grpSpPr>
                        <a:xfrm>
                          <a:off x="0" y="0"/>
                          <a:ext cx="6330950" cy="4362450"/>
                          <a:chOff x="0" y="0"/>
                          <a:chExt cx="6330950" cy="3984625"/>
                        </a:xfrm>
                      </wpg:grpSpPr>
                      <wpg:grpSp>
                        <wpg:cNvPr id="158915243" name="Gruppo 18"/>
                        <wpg:cNvGrpSpPr/>
                        <wpg:grpSpPr>
                          <a:xfrm>
                            <a:off x="0" y="2355850"/>
                            <a:ext cx="6330950" cy="1628775"/>
                            <a:chOff x="0" y="0"/>
                            <a:chExt cx="6330950" cy="1629107"/>
                          </a:xfrm>
                        </wpg:grpSpPr>
                        <wps:wsp>
                          <wps:cNvPr id="502614746" name="Casella di testo 1"/>
                          <wps:cNvSpPr txBox="1"/>
                          <wps:spPr>
                            <a:xfrm>
                              <a:off x="0" y="0"/>
                              <a:ext cx="1924241" cy="1629107"/>
                            </a:xfrm>
                            <a:prstGeom prst="roundRect">
                              <a:avLst/>
                            </a:prstGeom>
                            <a:solidFill>
                              <a:srgbClr val="FFC000"/>
                            </a:solidFill>
                            <a:ln w="9525" cap="flat" cmpd="sng" algn="ctr">
                              <a:solidFill>
                                <a:srgbClr val="000000"/>
                              </a:solidFill>
                              <a:miter lim="800000"/>
                              <a:headEnd/>
                              <a:tailEnd/>
                            </a:ln>
                          </wps:spPr>
                          <wps:txbx>
                            <w:txbxContent>
                              <w:p w14:paraId="69DBA4A1"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r w:rsidRPr="11624437" w:rsidDel="FFFFFFFF">
                                  <w:rPr>
                                    <w:b/>
                                    <w:position w:val="-1"/>
                                    <w:sz w:val="28"/>
                                    <w:szCs w:val="22"/>
                                  </w:rPr>
                                  <w:t>Basso Rischio</w:t>
                                </w:r>
                              </w:p>
                              <w:p w14:paraId="2A479D04"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Axitinib + Pembrolizumab</w:t>
                                </w:r>
                              </w:p>
                              <w:p w14:paraId="185F64D8"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Cabozantinib + Nivolumab</w:t>
                                </w:r>
                              </w:p>
                              <w:p w14:paraId="1EAC6366"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Pembrolizumab + Le</w:t>
                                </w:r>
                                <w:r w:rsidRPr="FFFFFFFF" w:rsidDel="FFFFFFFF">
                                  <w:rPr>
                                    <w:position w:val="-1"/>
                                    <w:sz w:val="22"/>
                                    <w:szCs w:val="22"/>
                                  </w:rPr>
                                  <w:t>n</w:t>
                                </w:r>
                                <w:r w:rsidRPr="02491084" w:rsidDel="FFFFFFFF">
                                  <w:rPr>
                                    <w:position w:val="-1"/>
                                    <w:sz w:val="22"/>
                                    <w:szCs w:val="22"/>
                                  </w:rPr>
                                  <w:t>vatinib</w:t>
                                </w:r>
                              </w:p>
                              <w:p w14:paraId="566E0AFB"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Bevacizumab+IFN a</w:t>
                                </w:r>
                              </w:p>
                              <w:p w14:paraId="56A83199"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Tivozanib*</w:t>
                                </w:r>
                              </w:p>
                              <w:p w14:paraId="0D83A270"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Sunitinib</w:t>
                                </w:r>
                              </w:p>
                              <w:p w14:paraId="0DFB4CBA"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Pazopanib</w:t>
                                </w:r>
                              </w:p>
                              <w:p w14:paraId="7CBB2B39" w14:textId="77777777" w:rsidR="00AC123D" w:rsidRDefault="00AC123D" w:rsidP="00AC123D">
                                <w:pPr>
                                  <w:suppressAutoHyphens/>
                                  <w:spacing w:line="1" w:lineRule="atLeast"/>
                                  <w:ind w:leftChars="-1" w:hangingChars="1" w:hanging="2"/>
                                  <w:textDirection w:val="btLr"/>
                                  <w:textAlignment w:val="top"/>
                                  <w:outlineLvl w:val="0"/>
                                  <w:rPr>
                                    <w:position w:val="-1"/>
                                  </w:rPr>
                                </w:pPr>
                              </w:p>
                            </w:txbxContent>
                          </wps:txbx>
                          <wps:bodyPr anchor="b" anchorCtr="0"/>
                        </wps:wsp>
                        <wps:wsp>
                          <wps:cNvPr id="1178704184" name="Casella di testo 1"/>
                          <wps:cNvSpPr txBox="1"/>
                          <wps:spPr>
                            <a:xfrm>
                              <a:off x="2203450" y="0"/>
                              <a:ext cx="1924241" cy="1629107"/>
                            </a:xfrm>
                            <a:prstGeom prst="roundRect">
                              <a:avLst/>
                            </a:prstGeom>
                            <a:solidFill>
                              <a:srgbClr val="FFC000"/>
                            </a:solidFill>
                            <a:ln w="9525" cap="flat" cmpd="sng" algn="ctr">
                              <a:solidFill>
                                <a:srgbClr val="000000"/>
                              </a:solidFill>
                              <a:miter lim="800000"/>
                              <a:headEnd/>
                              <a:tailEnd/>
                            </a:ln>
                          </wps:spPr>
                          <wps:txbx>
                            <w:txbxContent>
                              <w:p w14:paraId="337617A1"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r w:rsidRPr="FFFFFFFF" w:rsidDel="FFFFFFFF">
                                  <w:rPr>
                                    <w:b/>
                                    <w:position w:val="-1"/>
                                    <w:sz w:val="28"/>
                                    <w:szCs w:val="22"/>
                                  </w:rPr>
                                  <w:t>Intermed</w:t>
                                </w:r>
                                <w:r w:rsidRPr="11624437" w:rsidDel="FFFFFFFF">
                                  <w:rPr>
                                    <w:b/>
                                    <w:position w:val="-1"/>
                                    <w:sz w:val="28"/>
                                    <w:szCs w:val="22"/>
                                  </w:rPr>
                                  <w:t>io Rischio</w:t>
                                </w:r>
                              </w:p>
                              <w:p w14:paraId="547540F2"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Axitinib + Pembrolizumab</w:t>
                                </w:r>
                              </w:p>
                              <w:p w14:paraId="31496C5E"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Cabozantinib + Nivolumab</w:t>
                                </w:r>
                              </w:p>
                              <w:p w14:paraId="68CF0D90"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Pembrolizumab + Le</w:t>
                                </w:r>
                                <w:r w:rsidRPr="FFFFFFFF" w:rsidDel="FFFFFFFF">
                                  <w:rPr>
                                    <w:position w:val="-1"/>
                                    <w:sz w:val="22"/>
                                    <w:szCs w:val="22"/>
                                  </w:rPr>
                                  <w:t>n</w:t>
                                </w:r>
                                <w:r w:rsidRPr="02491084" w:rsidDel="FFFFFFFF">
                                  <w:rPr>
                                    <w:position w:val="-1"/>
                                    <w:sz w:val="22"/>
                                    <w:szCs w:val="22"/>
                                  </w:rPr>
                                  <w:t>vatinib</w:t>
                                </w:r>
                              </w:p>
                              <w:p w14:paraId="6A484F16"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Ipilimumab+Nivolumab</w:t>
                                </w:r>
                              </w:p>
                              <w:p w14:paraId="730EEFE8"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10700454" w:rsidDel="FFFFFFFF">
                                  <w:rPr>
                                    <w:position w:val="-1"/>
                                    <w:sz w:val="22"/>
                                    <w:szCs w:val="22"/>
                                  </w:rPr>
                                  <w:t>Bevacizumab+IFN a</w:t>
                                </w:r>
                              </w:p>
                              <w:p w14:paraId="1F168D39"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10700454" w:rsidDel="FFFFFFFF">
                                  <w:rPr>
                                    <w:position w:val="-1"/>
                                    <w:sz w:val="22"/>
                                    <w:szCs w:val="22"/>
                                  </w:rPr>
                                  <w:t>Tivozanib*</w:t>
                                </w:r>
                              </w:p>
                              <w:p w14:paraId="3F347396"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Cabozantinib</w:t>
                                </w:r>
                              </w:p>
                              <w:p w14:paraId="5A431DF4"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p>
                              <w:p w14:paraId="5BE0F906" w14:textId="77777777" w:rsidR="00AC123D" w:rsidRDefault="00AC123D" w:rsidP="00AC123D">
                                <w:pPr>
                                  <w:suppressAutoHyphens/>
                                  <w:spacing w:line="1" w:lineRule="atLeast"/>
                                  <w:ind w:leftChars="-1" w:hangingChars="1" w:hanging="2"/>
                                  <w:textDirection w:val="btLr"/>
                                  <w:textAlignment w:val="top"/>
                                  <w:outlineLvl w:val="0"/>
                                  <w:rPr>
                                    <w:position w:val="-1"/>
                                  </w:rPr>
                                </w:pPr>
                              </w:p>
                            </w:txbxContent>
                          </wps:txbx>
                          <wps:bodyPr anchor="b" anchorCtr="0"/>
                        </wps:wsp>
                        <wps:wsp>
                          <wps:cNvPr id="201089598" name="Casella di testo 1"/>
                          <wps:cNvSpPr txBox="1"/>
                          <wps:spPr>
                            <a:xfrm>
                              <a:off x="4406900" y="0"/>
                              <a:ext cx="1924050" cy="1628775"/>
                            </a:xfrm>
                            <a:prstGeom prst="roundRect">
                              <a:avLst/>
                            </a:prstGeom>
                            <a:solidFill>
                              <a:srgbClr val="FFC000"/>
                            </a:solidFill>
                            <a:ln w="9525" cap="flat" cmpd="sng" algn="ctr">
                              <a:solidFill>
                                <a:srgbClr val="000000"/>
                              </a:solidFill>
                              <a:miter lim="800000"/>
                              <a:headEnd/>
                              <a:tailEnd/>
                            </a:ln>
                          </wps:spPr>
                          <wps:txbx>
                            <w:txbxContent>
                              <w:p w14:paraId="60BE3DC9"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r w:rsidRPr="11624437" w:rsidDel="FFFFFFFF">
                                  <w:rPr>
                                    <w:b/>
                                    <w:position w:val="-1"/>
                                    <w:sz w:val="28"/>
                                    <w:szCs w:val="22"/>
                                  </w:rPr>
                                  <w:t>Alto Rischio</w:t>
                                </w:r>
                              </w:p>
                              <w:p w14:paraId="7D55235B"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Axitinib + Pembrolizumab</w:t>
                                </w:r>
                              </w:p>
                              <w:p w14:paraId="463A4402"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Cabozantinib + Nivolumab</w:t>
                                </w:r>
                              </w:p>
                              <w:p w14:paraId="444FD492"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Pembrolizumab + Le</w:t>
                                </w:r>
                                <w:r w:rsidRPr="FFFFFFFF" w:rsidDel="FFFFFFFF">
                                  <w:rPr>
                                    <w:position w:val="-1"/>
                                    <w:sz w:val="22"/>
                                    <w:szCs w:val="22"/>
                                  </w:rPr>
                                  <w:t>n</w:t>
                                </w:r>
                                <w:r w:rsidRPr="02491084" w:rsidDel="FFFFFFFF">
                                  <w:rPr>
                                    <w:position w:val="-1"/>
                                    <w:sz w:val="22"/>
                                    <w:szCs w:val="22"/>
                                  </w:rPr>
                                  <w:t>vatinib</w:t>
                                </w:r>
                              </w:p>
                              <w:p w14:paraId="459AC8B2"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Ipilimumab +Nivolumab</w:t>
                                </w:r>
                              </w:p>
                              <w:p w14:paraId="5E121E78"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Cabozantinib</w:t>
                                </w:r>
                              </w:p>
                              <w:p w14:paraId="7827B835"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p>
                              <w:p w14:paraId="26D2C88F" w14:textId="77777777" w:rsidR="00AC123D" w:rsidRDefault="00AC123D" w:rsidP="00AC123D">
                                <w:pPr>
                                  <w:suppressAutoHyphens/>
                                  <w:spacing w:line="1" w:lineRule="atLeast"/>
                                  <w:ind w:leftChars="-1" w:hangingChars="1" w:hanging="2"/>
                                  <w:textDirection w:val="btLr"/>
                                  <w:textAlignment w:val="top"/>
                                  <w:outlineLvl w:val="0"/>
                                  <w:rPr>
                                    <w:position w:val="-1"/>
                                  </w:rPr>
                                </w:pPr>
                              </w:p>
                            </w:txbxContent>
                          </wps:txbx>
                          <wps:bodyPr anchor="b" anchorCtr="0"/>
                        </wps:wsp>
                      </wpg:grpSp>
                      <wpg:grpSp>
                        <wpg:cNvPr id="911001616" name="Gruppo 24"/>
                        <wpg:cNvGrpSpPr/>
                        <wpg:grpSpPr>
                          <a:xfrm>
                            <a:off x="1022350" y="0"/>
                            <a:ext cx="4438650" cy="2362200"/>
                            <a:chOff x="0" y="0"/>
                            <a:chExt cx="4438650" cy="2362200"/>
                          </a:xfrm>
                        </wpg:grpSpPr>
                        <wpg:grpSp>
                          <wpg:cNvPr id="77931746" name="Gruppo 22"/>
                          <wpg:cNvGrpSpPr/>
                          <wpg:grpSpPr>
                            <a:xfrm>
                              <a:off x="0" y="0"/>
                              <a:ext cx="4432300" cy="1758950"/>
                              <a:chOff x="0" y="0"/>
                              <a:chExt cx="4432300" cy="1758950"/>
                            </a:xfrm>
                          </wpg:grpSpPr>
                          <wpg:grpSp>
                            <wpg:cNvPr id="1152666016" name="Gruppo 19"/>
                            <wpg:cNvGrpSpPr/>
                            <wpg:grpSpPr>
                              <a:xfrm>
                                <a:off x="1168400" y="0"/>
                                <a:ext cx="1924241" cy="1758950"/>
                                <a:chOff x="0" y="0"/>
                                <a:chExt cx="1924241" cy="1758950"/>
                              </a:xfrm>
                            </wpg:grpSpPr>
                            <wps:wsp>
                              <wps:cNvPr id="2073524313" name="Connettore diritto 17"/>
                              <wps:cNvCnPr/>
                              <wps:spPr>
                                <a:xfrm>
                                  <a:off x="977803" y="850900"/>
                                  <a:ext cx="6349" cy="9080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44898929" name="Casella di testo 1"/>
                              <wps:cNvSpPr txBox="1"/>
                              <wps:spPr>
                                <a:xfrm>
                                  <a:off x="0" y="0"/>
                                  <a:ext cx="1924241" cy="848399"/>
                                </a:xfrm>
                                <a:prstGeom prst="roundRect">
                                  <a:avLst/>
                                </a:prstGeom>
                                <a:solidFill>
                                  <a:srgbClr val="FFC000"/>
                                </a:solidFill>
                                <a:ln w="9525" cap="flat" cmpd="sng" algn="ctr">
                                  <a:solidFill>
                                    <a:srgbClr val="000000"/>
                                  </a:solidFill>
                                  <a:miter lim="800000"/>
                                  <a:headEnd/>
                                  <a:tailEnd/>
                                </a:ln>
                              </wps:spPr>
                              <wps:txbx>
                                <w:txbxContent>
                                  <w:p w14:paraId="7F64E0CD"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r w:rsidRPr="11624437" w:rsidDel="FFFFFFFF">
                                      <w:rPr>
                                        <w:b/>
                                        <w:position w:val="-1"/>
                                        <w:sz w:val="28"/>
                                        <w:szCs w:val="22"/>
                                      </w:rPr>
                                      <w:t>Malattia metastatica Pazienti Naive</w:t>
                                    </w:r>
                                  </w:p>
                                  <w:p w14:paraId="5C1103EB" w14:textId="77777777" w:rsidR="00AC123D" w:rsidRDefault="00AC123D" w:rsidP="00AC123D">
                                    <w:pPr>
                                      <w:suppressAutoHyphens/>
                                      <w:spacing w:line="1" w:lineRule="atLeast"/>
                                      <w:ind w:leftChars="-1" w:hangingChars="1" w:hanging="2"/>
                                      <w:textDirection w:val="btLr"/>
                                      <w:textAlignment w:val="top"/>
                                      <w:outlineLvl w:val="0"/>
                                      <w:rPr>
                                        <w:position w:val="-1"/>
                                      </w:rPr>
                                    </w:pPr>
                                  </w:p>
                                </w:txbxContent>
                              </wps:txbx>
                              <wps:bodyPr/>
                            </wps:wsp>
                          </wpg:grpSp>
                          <wps:wsp>
                            <wps:cNvPr id="717667400" name="Connettore diritto 20"/>
                            <wps:cNvCnPr/>
                            <wps:spPr>
                              <a:xfrm>
                                <a:off x="0" y="1752600"/>
                                <a:ext cx="4432300" cy="63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973540066" name="Connettore diritto 23"/>
                          <wps:cNvCnPr/>
                          <wps:spPr>
                            <a:xfrm flipH="1">
                              <a:off x="0" y="1752600"/>
                              <a:ext cx="6350" cy="6032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19490831" name="Connettore diritto 23"/>
                          <wps:cNvCnPr/>
                          <wps:spPr>
                            <a:xfrm flipH="1">
                              <a:off x="2146300" y="1758950"/>
                              <a:ext cx="6350" cy="6032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67074954" name="Connettore diritto 23"/>
                          <wps:cNvCnPr/>
                          <wps:spPr>
                            <a:xfrm flipH="1">
                              <a:off x="4432300" y="1752600"/>
                              <a:ext cx="6350" cy="6032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wgp>
                  </a:graphicData>
                </a:graphic>
                <wp14:sizeRelV relativeFrom="margin">
                  <wp14:pctHeight>0</wp14:pctHeight>
                </wp14:sizeRelV>
              </wp:anchor>
            </w:drawing>
          </mc:Choice>
          <mc:Fallback>
            <w:pict>
              <v:group w14:anchorId="3660D1BC" id="Gruppo 25" o:spid="_x0000_s1039" style="position:absolute;left:0;text-align:left;margin-left:0;margin-top:20.9pt;width:498.5pt;height:343.5pt;z-index:251670528;mso-position-horizontal:left;mso-position-horizontal-relative:margin;mso-height-relative:margin" coordsize="63309,3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pj7QQAAGQcAAAOAAAAZHJzL2Uyb0RvYy54bWzsWV1vpDYUfa/U/4B4bwYbj/lQJis1u0kf&#10;qna12/4AB8wMEtjIdjKTf99rAyYzGZpkGkVbaV4YYLi2r33uOcdw+WnXNsEDV7qWYhWiiygMuChk&#10;WYv1Kvz7r5tf0jDQhomSNVLwVfjIdfjp6uefLrddzrHcyKbkKoBGhM633SrcGNPli4UuNrxl+kJ2&#10;XMCflVQtM3Cp1otSsS203jYLHEV0sZWq7JQsuNZw93P/Z3jl2q8qXpg/q0pzEzSrEMZm3FG54509&#10;Lq4uWb5WrNvUxTAMdsIoWlYL6NQ39ZkZFtyr+llTbV0oqWVlLgrZLmRV1QV3OUA2KDrI5lbJ+87l&#10;ss63685PE0ztwTyd3Gzxx8NXFdQlrF2WEoyzJaVhIFgLa3Wr7rtOBnhpZ2nbrXN4+FZ137uvarix&#10;7q9s4rtKtfYXUgp2bn4f/fzynQkKuEnjOMqWsAwF/EdiiglcuBUoNrBMz+KKzZdjkTGMlPajWowd&#10;L+z4/HD8hR/3mOQyzdASk/ggR5SenCOOl8t0zONopojiNEncLLL8TZlCZIaixI5tNlOoGz1BQ/83&#10;aHzfsI47xGm72sOsLSNMEUmIR8Y107xpWFDWgeHayAD10+eCLD4Cs/tVwor7+xpuvhYmKMMEE9TD&#10;5NgUsLxT2txy2Qb2ZBVCnYjyGxS7q0H28Ls2/ZSNz9mutWzq8qZuGneh1nfXjQoeGBDDzc11FDkk&#10;wizvPdaIYLsKsyWgLSgY8FPVMAOnbQcVo8U6DFizBuIrjHJd7wXrp31ABzN9tLUBCmzqdhWm/iGW&#10;bzgrv4jSlYdhddOfwwAbAWjYdjrv59Semd3dzhXxUKo6v5PlIywDE8VGAt3dwUDd6bVx5GdnxwYC&#10;dGyJfACGEErSJCIoJWPpvRuIMI5iyyTBc8Y5Q8mC/SQo0bGkfzgoWaVMs2UG1qIXqndDEiERzYAJ&#10;ZpAUjdoFpDQyuuflMynNkZLTL0syb0HSJOi9hjttP5TzDKEoQhR5YRotCzlBzlGEQcuPLj4hcUrH&#10;xcdgXMB62h5elvO5SA+bKU8rkLPGJUmyGD1R4DFRfEKicyni2ELfejOUgE+CfF+b4tHIt6aIwJhR&#10;SmE9x7oekkTZCUkiRFMyX8qTv3hLqvtyMkXOpvoBwoqjJLaOFnlPey2F4MZIxcGgqRrOAuRrEFzd&#10;tRgM/GghRhPt3XuWJGkE7QEUwNpaRnRImNwtyXqgZFFqSdHaiamR0XQN5qyphbWULJ/xZdbPHNgu&#10;t/3j3p+ZnfOR0MUTfwVXR5yQNo8Nt+014huvwBOBCcW9NbNbyqlNVhRcmLFd97QNq8Af+sDo5cDh&#10;eRvK3XbTB6OXg32E61kK44PbWsjBUe4Pe5qKqn9+9IJ93hPL2iX5YIdHSJqlGQZovLMsHyWsvVpM&#10;SRpnjibmcXjeJAybhGGvO+rxHlImOfqgfUGCEkoTx9QDap6zF3YMY9H8Kvbq4QIahukhc4EcT1pF&#10;rdqfqevHpq4PB2QGcgpwnF6DHZFTHPeO5N8AGVRN3f1mX4FYdt97LXYUmg6Nzn3RKMZnZPLqLKrw&#10;yhRlBExWDG/D5unxVDRiRKjz/IeWfzJ6gMMzJq25PRs9/zo4oUmUkGw5vck7ItmnYtIrdI/J5xJ+&#10;5km/a/l/YPKpgrtz+JTl9ovDZzf7rezptdu4TB8Hr/4BAAD//wMAUEsDBBQABgAIAAAAIQAu4PRR&#10;3wAAAAcBAAAPAAAAZHJzL2Rvd25yZXYueG1sTI9PS8NAEMXvgt9hGcGb3aT+aRozKaWopyLYCuJt&#10;mkyT0OxuyG6T9Ns7nvQ47z3e+022mkyrBu594yxCPItAsS1c2dgK4XP/epeA8oFsSa2zjHBhD6v8&#10;+iqjtHSj/eBhFyolJdanhFCH0KVa+6JmQ37mOrbiHV1vKMjZV7rsaZRy0+p5FD1pQ42VhZo63tRc&#10;nHZng/A20ri+j1+G7em4uXzvH9+/tjEj3t5M62dQgafwF4ZffEGHXJgO7mxLr1oEeSQgPMTCL+5y&#10;uRDhgLCYJwnoPNP/+fMfAAAA//8DAFBLAQItABQABgAIAAAAIQC2gziS/gAAAOEBAAATAAAAAAAA&#10;AAAAAAAAAAAAAABbQ29udGVudF9UeXBlc10ueG1sUEsBAi0AFAAGAAgAAAAhADj9If/WAAAAlAEA&#10;AAsAAAAAAAAAAAAAAAAALwEAAF9yZWxzLy5yZWxzUEsBAi0AFAAGAAgAAAAhAFuPqmPtBAAAZBwA&#10;AA4AAAAAAAAAAAAAAAAALgIAAGRycy9lMm9Eb2MueG1sUEsBAi0AFAAGAAgAAAAhAC7g9FHfAAAA&#10;BwEAAA8AAAAAAAAAAAAAAAAARwcAAGRycy9kb3ducmV2LnhtbFBLBQYAAAAABAAEAPMAAABTCAAA&#10;AAA=&#10;">
                <v:group id="Gruppo 18" o:spid="_x0000_s1040" style="position:absolute;top:23558;width:63309;height:16288" coordsize="63309,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euxwAAAOIAAAAPAAAAZHJzL2Rvd25yZXYueG1sRE9Na8JA&#10;EL0L/Q/LCL3VTdQUja4i0pYeRKgK4m3IjkkwOxuy2yT+e7dQ8Ph438t1byrRUuNKywriUQSCOLO6&#10;5FzB6fj5NgPhPLLGyjIpuJOD9eplsMRU245/qD34XIQQdikqKLyvUyldVpBBN7I1ceCutjHoA2xy&#10;qRvsQrip5DiK3qXBkkNDgTVtC8puh1+j4KvDbjOJP9rd7bq9X47J/ryLSanXYb9ZgPDU+6f43/2t&#10;w/xkNo+T8XQCf5cCBrl6AAAA//8DAFBLAQItABQABgAIAAAAIQDb4fbL7gAAAIUBAAATAAAAAAAA&#10;AAAAAAAAAAAAAABbQ29udGVudF9UeXBlc10ueG1sUEsBAi0AFAAGAAgAAAAhAFr0LFu/AAAAFQEA&#10;AAsAAAAAAAAAAAAAAAAAHwEAAF9yZWxzLy5yZWxzUEsBAi0AFAAGAAgAAAAhAPNUJ67HAAAA4gAA&#10;AA8AAAAAAAAAAAAAAAAABwIAAGRycy9kb3ducmV2LnhtbFBLBQYAAAAAAwADALcAAAD7AgAAAAA=&#10;">
                  <v:roundrect id="Casella di testo 1" o:spid="_x0000_s1041" style="position:absolute;width:19242;height:16291;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BLJygAAAOIAAAAPAAAAZHJzL2Rvd25yZXYueG1sRI9Pa8JA&#10;FMTvQr/D8gq96a5WU4muYguFtF6s/86P7DMJZt+G7Dam375bKHgcZuY3zHLd21p01PrKsYbxSIEg&#10;zp2puNBwPLwP5yB8QDZYOyYNP+RhvXoYLDE17sZf1O1DISKEfYoayhCaVEqfl2TRj1xDHL2Lay2G&#10;KNtCmhZvEW5rOVEqkRYrjgslNvRWUn7df1sNu+t8xhl+bg8f5+x10+2Oz6daaf302G8WIAL14R7+&#10;b2dGw0xNkvH0ZZrA36V4B+TqFwAA//8DAFBLAQItABQABgAIAAAAIQDb4fbL7gAAAIUBAAATAAAA&#10;AAAAAAAAAAAAAAAAAABbQ29udGVudF9UeXBlc10ueG1sUEsBAi0AFAAGAAgAAAAhAFr0LFu/AAAA&#10;FQEAAAsAAAAAAAAAAAAAAAAAHwEAAF9yZWxzLy5yZWxzUEsBAi0AFAAGAAgAAAAhAPvcEsnKAAAA&#10;4gAAAA8AAAAAAAAAAAAAAAAABwIAAGRycy9kb3ducmV2LnhtbFBLBQYAAAAAAwADALcAAAD+AgAA&#10;AAA=&#10;" fillcolor="#ffc000">
                    <v:stroke joinstyle="miter"/>
                    <v:textbox>
                      <w:txbxContent>
                        <w:p w14:paraId="69DBA4A1"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r w:rsidRPr="11624437" w:rsidDel="FFFFFFFF">
                            <w:rPr>
                              <w:b/>
                              <w:position w:val="-1"/>
                              <w:sz w:val="28"/>
                              <w:szCs w:val="22"/>
                            </w:rPr>
                            <w:t>Basso Rischio</w:t>
                          </w:r>
                        </w:p>
                        <w:p w14:paraId="2A479D04"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Axitinib + Pembrolizumab</w:t>
                          </w:r>
                        </w:p>
                        <w:p w14:paraId="185F64D8"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Cabozantinib + Nivolumab</w:t>
                          </w:r>
                        </w:p>
                        <w:p w14:paraId="1EAC6366"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Pembrolizumab + Le</w:t>
                          </w:r>
                          <w:r w:rsidRPr="FFFFFFFF" w:rsidDel="FFFFFFFF">
                            <w:rPr>
                              <w:position w:val="-1"/>
                              <w:sz w:val="22"/>
                              <w:szCs w:val="22"/>
                            </w:rPr>
                            <w:t>n</w:t>
                          </w:r>
                          <w:r w:rsidRPr="02491084" w:rsidDel="FFFFFFFF">
                            <w:rPr>
                              <w:position w:val="-1"/>
                              <w:sz w:val="22"/>
                              <w:szCs w:val="22"/>
                            </w:rPr>
                            <w:t>vatinib</w:t>
                          </w:r>
                        </w:p>
                        <w:p w14:paraId="566E0AFB"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Bevacizumab+IFN a</w:t>
                          </w:r>
                        </w:p>
                        <w:p w14:paraId="56A83199"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Tivozanib*</w:t>
                          </w:r>
                        </w:p>
                        <w:p w14:paraId="0D83A270"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Sunitinib</w:t>
                          </w:r>
                        </w:p>
                        <w:p w14:paraId="0DFB4CBA"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Pazopanib</w:t>
                          </w:r>
                        </w:p>
                        <w:p w14:paraId="7CBB2B39" w14:textId="77777777" w:rsidR="00AC123D" w:rsidRDefault="00AC123D" w:rsidP="00AC123D">
                          <w:pPr>
                            <w:suppressAutoHyphens/>
                            <w:spacing w:line="1" w:lineRule="atLeast"/>
                            <w:ind w:leftChars="-1" w:hangingChars="1" w:hanging="2"/>
                            <w:textDirection w:val="btLr"/>
                            <w:textAlignment w:val="top"/>
                            <w:outlineLvl w:val="0"/>
                            <w:rPr>
                              <w:position w:val="-1"/>
                            </w:rPr>
                          </w:pPr>
                        </w:p>
                      </w:txbxContent>
                    </v:textbox>
                  </v:roundrect>
                  <v:roundrect id="Casella di testo 1" o:spid="_x0000_s1042" style="position:absolute;left:22034;width:19242;height:16291;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nyAAAAOMAAAAPAAAAZHJzL2Rvd25yZXYueG1sRE9fa8Iw&#10;EH8f7DuEG/g2k246S2cUNxjU+eLU7flobm2xuZQm1u7bm4Hg4/3+33w52Eb01PnasYZkrEAQF87U&#10;XGo47D8eUxA+IBtsHJOGP/KwXNzfzTEz7sxf1O9CKWII+ww1VCG0mZS+qMiiH7uWOHK/rrMY4tmV&#10;0nR4juG2kU9KvUiLNceGClt6r6g47k5Ww/aYTjnHz81+/ZO/rfrt4fm7UVqPHobVK4hAQ7iJr+7c&#10;xPnJLJ2pSZJO4P+nCIBcXAAAAP//AwBQSwECLQAUAAYACAAAACEA2+H2y+4AAACFAQAAEwAAAAAA&#10;AAAAAAAAAAAAAAAAW0NvbnRlbnRfVHlwZXNdLnhtbFBLAQItABQABgAIAAAAIQBa9CxbvwAAABUB&#10;AAALAAAAAAAAAAAAAAAAAB8BAABfcmVscy8ucmVsc1BLAQItABQABgAIAAAAIQBhyZ/nyAAAAOMA&#10;AAAPAAAAAAAAAAAAAAAAAAcCAABkcnMvZG93bnJldi54bWxQSwUGAAAAAAMAAwC3AAAA/AIAAAAA&#10;" fillcolor="#ffc000">
                    <v:stroke joinstyle="miter"/>
                    <v:textbox>
                      <w:txbxContent>
                        <w:p w14:paraId="337617A1"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r w:rsidRPr="FFFFFFFF" w:rsidDel="FFFFFFFF">
                            <w:rPr>
                              <w:b/>
                              <w:position w:val="-1"/>
                              <w:sz w:val="28"/>
                              <w:szCs w:val="22"/>
                            </w:rPr>
                            <w:t>Intermed</w:t>
                          </w:r>
                          <w:r w:rsidRPr="11624437" w:rsidDel="FFFFFFFF">
                            <w:rPr>
                              <w:b/>
                              <w:position w:val="-1"/>
                              <w:sz w:val="28"/>
                              <w:szCs w:val="22"/>
                            </w:rPr>
                            <w:t>io Rischio</w:t>
                          </w:r>
                        </w:p>
                        <w:p w14:paraId="547540F2"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Axitinib + Pembrolizumab</w:t>
                          </w:r>
                        </w:p>
                        <w:p w14:paraId="31496C5E"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Cabozantinib + Nivolumab</w:t>
                          </w:r>
                        </w:p>
                        <w:p w14:paraId="68CF0D90"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Pembrolizumab + Le</w:t>
                          </w:r>
                          <w:r w:rsidRPr="FFFFFFFF" w:rsidDel="FFFFFFFF">
                            <w:rPr>
                              <w:position w:val="-1"/>
                              <w:sz w:val="22"/>
                              <w:szCs w:val="22"/>
                            </w:rPr>
                            <w:t>n</w:t>
                          </w:r>
                          <w:r w:rsidRPr="02491084" w:rsidDel="FFFFFFFF">
                            <w:rPr>
                              <w:position w:val="-1"/>
                              <w:sz w:val="22"/>
                              <w:szCs w:val="22"/>
                            </w:rPr>
                            <w:t>vatinib</w:t>
                          </w:r>
                        </w:p>
                        <w:p w14:paraId="6A484F16"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Ipilimumab+Nivolumab</w:t>
                          </w:r>
                        </w:p>
                        <w:p w14:paraId="730EEFE8"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10700454" w:rsidDel="FFFFFFFF">
                            <w:rPr>
                              <w:position w:val="-1"/>
                              <w:sz w:val="22"/>
                              <w:szCs w:val="22"/>
                            </w:rPr>
                            <w:t>Bevacizumab+IFN a</w:t>
                          </w:r>
                        </w:p>
                        <w:p w14:paraId="1F168D39"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10700454" w:rsidDel="FFFFFFFF">
                            <w:rPr>
                              <w:position w:val="-1"/>
                              <w:sz w:val="22"/>
                              <w:szCs w:val="22"/>
                            </w:rPr>
                            <w:t>Tivozanib*</w:t>
                          </w:r>
                        </w:p>
                        <w:p w14:paraId="3F347396"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Cabozantinib</w:t>
                          </w:r>
                        </w:p>
                        <w:p w14:paraId="5A431DF4"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p>
                        <w:p w14:paraId="5BE0F906" w14:textId="77777777" w:rsidR="00AC123D" w:rsidRDefault="00AC123D" w:rsidP="00AC123D">
                          <w:pPr>
                            <w:suppressAutoHyphens/>
                            <w:spacing w:line="1" w:lineRule="atLeast"/>
                            <w:ind w:leftChars="-1" w:hangingChars="1" w:hanging="2"/>
                            <w:textDirection w:val="btLr"/>
                            <w:textAlignment w:val="top"/>
                            <w:outlineLvl w:val="0"/>
                            <w:rPr>
                              <w:position w:val="-1"/>
                            </w:rPr>
                          </w:pPr>
                        </w:p>
                      </w:txbxContent>
                    </v:textbox>
                  </v:roundrect>
                  <v:roundrect id="Casella di testo 1" o:spid="_x0000_s1043" style="position:absolute;left:44069;width:19240;height:16287;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LxgAAAOIAAAAPAAAAZHJzL2Rvd25yZXYueG1sRE/Pa8Iw&#10;FL4P9j+EN/A2ExVHrUZxglDdxanz/Gje2mLzUppYu/9+OQgeP77fi1Vva9FR6yvHGkZDBYI4d6bi&#10;QsP5tH1PQPiAbLB2TBr+yMNq+fqywNS4O39TdwyFiCHsU9RQhtCkUvq8JIt+6BriyP261mKIsC2k&#10;afEew20tx0p9SIsVx4YSG9qUlF+PN6vhcE2mnOH+67S7ZJ/r7nCe/NRK68Fbv56DCNSHp/jhzoyG&#10;sRqpZDadxc3xUrwDcvkPAAD//wMAUEsBAi0AFAAGAAgAAAAhANvh9svuAAAAhQEAABMAAAAAAAAA&#10;AAAAAAAAAAAAAFtDb250ZW50X1R5cGVzXS54bWxQSwECLQAUAAYACAAAACEAWvQsW78AAAAVAQAA&#10;CwAAAAAAAAAAAAAAAAAfAQAAX3JlbHMvLnJlbHNQSwECLQAUAAYACAAAACEAHRviC8YAAADiAAAA&#10;DwAAAAAAAAAAAAAAAAAHAgAAZHJzL2Rvd25yZXYueG1sUEsFBgAAAAADAAMAtwAAAPoCAAAAAA==&#10;" fillcolor="#ffc000">
                    <v:stroke joinstyle="miter"/>
                    <v:textbox>
                      <w:txbxContent>
                        <w:p w14:paraId="60BE3DC9"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r w:rsidRPr="11624437" w:rsidDel="FFFFFFFF">
                            <w:rPr>
                              <w:b/>
                              <w:position w:val="-1"/>
                              <w:sz w:val="28"/>
                              <w:szCs w:val="22"/>
                            </w:rPr>
                            <w:t>Alto Rischio</w:t>
                          </w:r>
                        </w:p>
                        <w:p w14:paraId="7D55235B"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Axitinib + Pembrolizumab</w:t>
                          </w:r>
                        </w:p>
                        <w:p w14:paraId="463A4402"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Cabozantinib + Nivolumab</w:t>
                          </w:r>
                        </w:p>
                        <w:p w14:paraId="444FD492"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02491084" w:rsidDel="FFFFFFFF">
                            <w:rPr>
                              <w:position w:val="-1"/>
                              <w:sz w:val="22"/>
                              <w:szCs w:val="22"/>
                            </w:rPr>
                            <w:t>Pembrolizumab + Le</w:t>
                          </w:r>
                          <w:r w:rsidRPr="FFFFFFFF" w:rsidDel="FFFFFFFF">
                            <w:rPr>
                              <w:position w:val="-1"/>
                              <w:sz w:val="22"/>
                              <w:szCs w:val="22"/>
                            </w:rPr>
                            <w:t>n</w:t>
                          </w:r>
                          <w:r w:rsidRPr="02491084" w:rsidDel="FFFFFFFF">
                            <w:rPr>
                              <w:position w:val="-1"/>
                              <w:sz w:val="22"/>
                              <w:szCs w:val="22"/>
                            </w:rPr>
                            <w:t>vatinib</w:t>
                          </w:r>
                        </w:p>
                        <w:p w14:paraId="459AC8B2"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Ipilimumab +Nivolumab</w:t>
                          </w:r>
                        </w:p>
                        <w:p w14:paraId="5E121E78" w14:textId="77777777" w:rsidR="00AC123D" w:rsidRDefault="00AC123D" w:rsidP="00AC123D">
                          <w:pPr>
                            <w:suppressAutoHyphens/>
                            <w:spacing w:line="1" w:lineRule="atLeast"/>
                            <w:ind w:leftChars="-1" w:hangingChars="1" w:hanging="2"/>
                            <w:jc w:val="center"/>
                            <w:textDirection w:val="btLr"/>
                            <w:textAlignment w:val="top"/>
                            <w:outlineLvl w:val="0"/>
                            <w:rPr>
                              <w:position w:val="-1"/>
                              <w:sz w:val="22"/>
                              <w:szCs w:val="22"/>
                            </w:rPr>
                          </w:pPr>
                          <w:r w:rsidRPr="FFFFFFFF" w:rsidDel="FFFFFFFF">
                            <w:rPr>
                              <w:position w:val="-1"/>
                              <w:sz w:val="22"/>
                              <w:szCs w:val="22"/>
                            </w:rPr>
                            <w:t>Cabozantinib</w:t>
                          </w:r>
                        </w:p>
                        <w:p w14:paraId="7827B835"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p>
                        <w:p w14:paraId="26D2C88F" w14:textId="77777777" w:rsidR="00AC123D" w:rsidRDefault="00AC123D" w:rsidP="00AC123D">
                          <w:pPr>
                            <w:suppressAutoHyphens/>
                            <w:spacing w:line="1" w:lineRule="atLeast"/>
                            <w:ind w:leftChars="-1" w:hangingChars="1" w:hanging="2"/>
                            <w:textDirection w:val="btLr"/>
                            <w:textAlignment w:val="top"/>
                            <w:outlineLvl w:val="0"/>
                            <w:rPr>
                              <w:position w:val="-1"/>
                            </w:rPr>
                          </w:pPr>
                        </w:p>
                      </w:txbxContent>
                    </v:textbox>
                  </v:roundrect>
                </v:group>
                <v:group id="Gruppo 24" o:spid="_x0000_s1044" style="position:absolute;left:10223;width:44387;height:23622" coordsize="44386,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X7ygAAAOIAAAAPAAAAZHJzL2Rvd25yZXYueG1sRI/NasMw&#10;EITvhb6D2EJvjaSUmtSJEkJISw+hkB8ouS3WxjaxVsZSbeftq0Khx2FmvmEWq9E1oqcu1J4N6IkC&#10;QVx4W3Np4HR8e5qBCBHZYuOZDNwowGp5f7fA3PqB99QfYikShEOOBqoY21zKUFTkMEx8S5y8i+8c&#10;xiS7UtoOhwR3jZwqlUmHNaeFClvaVFRcD9/OwPuAw/pZb/vd9bK5nY8vn187TcY8PozrOYhIY/wP&#10;/7U/rIFXrZXSmc7g91K6A3L5AwAA//8DAFBLAQItABQABgAIAAAAIQDb4fbL7gAAAIUBAAATAAAA&#10;AAAAAAAAAAAAAAAAAABbQ29udGVudF9UeXBlc10ueG1sUEsBAi0AFAAGAAgAAAAhAFr0LFu/AAAA&#10;FQEAAAsAAAAAAAAAAAAAAAAAHwEAAF9yZWxzLy5yZWxzUEsBAi0AFAAGAAgAAAAhAHmsFfvKAAAA&#10;4gAAAA8AAAAAAAAAAAAAAAAABwIAAGRycy9kb3ducmV2LnhtbFBLBQYAAAAAAwADALcAAAD+AgAA&#10;AAA=&#10;">
                  <v:group id="Gruppo 22" o:spid="_x0000_s1045" style="position:absolute;width:44323;height:17589" coordsize="44323,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0aywAAAOEAAAAPAAAAZHJzL2Rvd25yZXYueG1sRI9Pa8JA&#10;FMTvhX6H5Qm91U1qa2x0FREtPYjgH5DeHtlnEsy+DdltEr99tyB4HGbmN8xs0ZtKtNS40rKCeBiB&#10;IM6sLjlXcDpuXicgnEfWWFkmBTdysJg/P80w1bbjPbUHn4sAYZeigsL7OpXSZQUZdENbEwfvYhuD&#10;Psgml7rBLsBNJd+iaCwNlhwWCqxpVVB2PfwaBV8ddstRvG6318vq9nP82J23MSn1MuiXUxCeev8I&#10;39vfWkGSfI7i5H0M/4/CG5DzPwAAAP//AwBQSwECLQAUAAYACAAAACEA2+H2y+4AAACFAQAAEwAA&#10;AAAAAAAAAAAAAAAAAAAAW0NvbnRlbnRfVHlwZXNdLnhtbFBLAQItABQABgAIAAAAIQBa9CxbvwAA&#10;ABUBAAALAAAAAAAAAAAAAAAAAB8BAABfcmVscy8ucmVsc1BLAQItABQABgAIAAAAIQCvOR0aywAA&#10;AOEAAAAPAAAAAAAAAAAAAAAAAAcCAABkcnMvZG93bnJldi54bWxQSwUGAAAAAAMAAwC3AAAA/wIA&#10;AAAA&#10;">
                    <v:group id="Gruppo 19" o:spid="_x0000_s1046" style="position:absolute;left:11684;width:19242;height:17589" coordsize="19242,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s3yAAAAOMAAAAPAAAAZHJzL2Rvd25yZXYueG1sRE9fa8Iw&#10;EH8f7DuEE3ybaRTDqEYR2cQHGUwHY29Hc7bF5lKarK3ffhkM9ni//7fejq4RPXWh9mxAzTIQxIW3&#10;NZcGPi6vT88gQkS22HgmA3cKsN08Pqwxt37gd+rPsRQphEOOBqoY21zKUFTkMMx8S5y4q+8cxnR2&#10;pbQdDincNXKeZVo6rDk1VNjSvqLidv52Bg4DDruFeulPt+v+/nVZvn2eFBkznYy7FYhIY/wX/7mP&#10;Ns1Xy7nWOlMafn9KAMjNDwAAAP//AwBQSwECLQAUAAYACAAAACEA2+H2y+4AAACFAQAAEwAAAAAA&#10;AAAAAAAAAAAAAAAAW0NvbnRlbnRfVHlwZXNdLnhtbFBLAQItABQABgAIAAAAIQBa9CxbvwAAABUB&#10;AAALAAAAAAAAAAAAAAAAAB8BAABfcmVscy8ucmVsc1BLAQItABQABgAIAAAAIQAjJts3yAAAAOMA&#10;AAAPAAAAAAAAAAAAAAAAAAcCAABkcnMvZG93bnJldi54bWxQSwUGAAAAAAMAAwC3AAAA/AIAAAAA&#10;">
                      <v:line id="Connettore diritto 17" o:spid="_x0000_s1047" style="position:absolute;visibility:visible;mso-wrap-style:square" from="9778,8509" to="9841,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hpzAAAAOMAAAAPAAAAZHJzL2Rvd25yZXYueG1sRI9PS8NA&#10;FMTvgt9heYI3u9tEbYndFvEf7UHBtuD1kX1NQrNv4+42Sb+9Kwgeh5n5DbNYjbYVPfnQONYwnSgQ&#10;xKUzDVca9rvXmzmIEJENto5Jw5kCrJaXFwssjBv4k/ptrESCcChQQx1jV0gZyposhonriJN3cN5i&#10;TNJX0ngcEty2MlPqXlpsOC3U2NFTTeVxe7Iawuz9++P0vG7UcDxsvmT/cvZve62vr8bHBxCRxvgf&#10;/muvjYZMzfK77Daf5vD7Kf0BufwBAAD//wMAUEsBAi0AFAAGAAgAAAAhANvh9svuAAAAhQEAABMA&#10;AAAAAAAAAAAAAAAAAAAAAFtDb250ZW50X1R5cGVzXS54bWxQSwECLQAUAAYACAAAACEAWvQsW78A&#10;AAAVAQAACwAAAAAAAAAAAAAAAAAfAQAAX3JlbHMvLnJlbHNQSwECLQAUAAYACAAAACEA692YacwA&#10;AADjAAAADwAAAAAAAAAAAAAAAAAHAgAAZHJzL2Rvd25yZXYueG1sUEsFBgAAAAADAAMAtwAAAAAD&#10;AAAAAA==&#10;" strokecolor="black [3213]" strokeweight="2pt">
                        <v:shadow on="t" color="black" opacity="24903f" origin=",.5" offset="0,.55556mm"/>
                      </v:line>
                      <v:roundrect id="Casella di testo 1" o:spid="_x0000_s1048" style="position:absolute;width:19242;height:8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9xyAAAAOIAAAAPAAAAZHJzL2Rvd25yZXYueG1sRE/dasIw&#10;FL4XfIdwBG/GTCedtp1RhiI4xvBne4BDc2yLzUlpYq1vvwwGXn58/4tVb2rRUesqywpeJhEI4tzq&#10;igsFP9/b5wSE88gaa8uk4E4OVsvhYIGZtjc+UnfyhQgh7DJUUHrfZFK6vCSDbmIb4sCdbWvQB9gW&#10;Urd4C+GmltMomkmDFYeGEhtal5RfTlej4DN6/drtP+LD0zE/HzaXeaf7eK/UeNS/v4Hw1PuH+N+9&#10;02F+HCdpkk5T+LsUMMjlLwAAAP//AwBQSwECLQAUAAYACAAAACEA2+H2y+4AAACFAQAAEwAAAAAA&#10;AAAAAAAAAAAAAAAAW0NvbnRlbnRfVHlwZXNdLnhtbFBLAQItABQABgAIAAAAIQBa9CxbvwAAABUB&#10;AAALAAAAAAAAAAAAAAAAAB8BAABfcmVscy8ucmVsc1BLAQItABQABgAIAAAAIQBPea9xyAAAAOIA&#10;AAAPAAAAAAAAAAAAAAAAAAcCAABkcnMvZG93bnJldi54bWxQSwUGAAAAAAMAAwC3AAAA/AIAAAAA&#10;" fillcolor="#ffc000">
                        <v:stroke joinstyle="miter"/>
                        <v:textbox>
                          <w:txbxContent>
                            <w:p w14:paraId="7F64E0CD" w14:textId="77777777" w:rsidR="00AC123D" w:rsidRDefault="00AC123D" w:rsidP="00AC123D">
                              <w:pPr>
                                <w:suppressAutoHyphens/>
                                <w:spacing w:line="1" w:lineRule="atLeast"/>
                                <w:ind w:leftChars="-1" w:left="1" w:hangingChars="1" w:hanging="3"/>
                                <w:jc w:val="center"/>
                                <w:textDirection w:val="btLr"/>
                                <w:textAlignment w:val="top"/>
                                <w:outlineLvl w:val="0"/>
                                <w:rPr>
                                  <w:position w:val="-1"/>
                                  <w:sz w:val="28"/>
                                  <w:szCs w:val="22"/>
                                </w:rPr>
                              </w:pPr>
                              <w:r w:rsidRPr="11624437" w:rsidDel="FFFFFFFF">
                                <w:rPr>
                                  <w:b/>
                                  <w:position w:val="-1"/>
                                  <w:sz w:val="28"/>
                                  <w:szCs w:val="22"/>
                                </w:rPr>
                                <w:t>Malattia metastatica Pazienti Naive</w:t>
                              </w:r>
                            </w:p>
                            <w:p w14:paraId="5C1103EB" w14:textId="77777777" w:rsidR="00AC123D" w:rsidRDefault="00AC123D" w:rsidP="00AC123D">
                              <w:pPr>
                                <w:suppressAutoHyphens/>
                                <w:spacing w:line="1" w:lineRule="atLeast"/>
                                <w:ind w:leftChars="-1" w:hangingChars="1" w:hanging="2"/>
                                <w:textDirection w:val="btLr"/>
                                <w:textAlignment w:val="top"/>
                                <w:outlineLvl w:val="0"/>
                                <w:rPr>
                                  <w:position w:val="-1"/>
                                </w:rPr>
                              </w:pPr>
                            </w:p>
                          </w:txbxContent>
                        </v:textbox>
                      </v:roundrect>
                    </v:group>
                    <v:line id="Connettore diritto 20" o:spid="_x0000_s1049" style="position:absolute;visibility:visible;mso-wrap-style:square" from="0,17526" to="44323,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cAyQAAAOIAAAAPAAAAZHJzL2Rvd25yZXYueG1sRI9da8Iw&#10;FIbvB/sP4Qx2NxPHaKUaRXQb7mKCTtjtoTm2xeakS2Jb//1yMdjly/vFs1iNthU9+dA41jCdKBDE&#10;pTMNVxpOX29PMxAhIhtsHZOGGwVYLe/vFlgYN/CB+mOsRBrhUKCGOsaukDKUNVkME9cRJ+/svMWY&#10;pK+k8TikcdvKZ6UyabHh9FBjR5uaysvxajWE/PNnf93uGjVczh/fsn+9+feT1o8P43oOItIY/8N/&#10;7Z3RkE/zLMtfVIJISAkH5PIXAAD//wMAUEsBAi0AFAAGAAgAAAAhANvh9svuAAAAhQEAABMAAAAA&#10;AAAAAAAAAAAAAAAAAFtDb250ZW50X1R5cGVzXS54bWxQSwECLQAUAAYACAAAACEAWvQsW78AAAAV&#10;AQAACwAAAAAAAAAAAAAAAAAfAQAAX3JlbHMvLnJlbHNQSwECLQAUAAYACAAAACEA15d3AMkAAADi&#10;AAAADwAAAAAAAAAAAAAAAAAHAgAAZHJzL2Rvd25yZXYueG1sUEsFBgAAAAADAAMAtwAAAP0CAAAA&#10;AA==&#10;" strokecolor="black [3213]" strokeweight="2pt">
                      <v:shadow on="t" color="black" opacity="24903f" origin=",.5" offset="0,.55556mm"/>
                    </v:line>
                  </v:group>
                  <v:line id="Connettore diritto 23" o:spid="_x0000_s1050" style="position:absolute;flip:x;visibility:visible;mso-wrap-style:square" from="0,17526" to="63,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5RywAAAOIAAAAPAAAAZHJzL2Rvd25yZXYueG1sRI9fS8Mw&#10;FMXfB36HcAXfbKqb26zLhvgHxwTHOsHXS3NtypqbkmRd/fZGEPZ4OOf8DmexGmwrevKhcazgJstB&#10;EFdON1wr+Ny/Xs9BhIissXVMCn4owGp5MVpgod2Jd9SXsRYJwqFABSbGrpAyVIYshsx1xMn7dt5i&#10;TNLXUns8Jbht5W2eT6XFhtOCwY6eDFWH8mgVjM1m0zf2rZw8b+PLxxH912H7rtTV5fD4ACLSEM/h&#10;//ZaK7ifje8miTqFv0vpDsjlLwAAAP//AwBQSwECLQAUAAYACAAAACEA2+H2y+4AAACFAQAAEwAA&#10;AAAAAAAAAAAAAAAAAAAAW0NvbnRlbnRfVHlwZXNdLnhtbFBLAQItABQABgAIAAAAIQBa9CxbvwAA&#10;ABUBAAALAAAAAAAAAAAAAAAAAB8BAABfcmVscy8ucmVsc1BLAQItABQABgAIAAAAIQD3YP5RywAA&#10;AOIAAAAPAAAAAAAAAAAAAAAAAAcCAABkcnMvZG93bnJldi54bWxQSwUGAAAAAAMAAwC3AAAA/wIA&#10;AAAA&#10;" strokecolor="black [3213]" strokeweight="2pt">
                    <v:shadow on="t" color="black" opacity="24903f" origin=",.5" offset="0,.55556mm"/>
                  </v:line>
                  <v:line id="Connettore diritto 23" o:spid="_x0000_s1051" style="position:absolute;flip:x;visibility:visible;mso-wrap-style:square" from="21463,17589" to="21526,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p2ywAAAOIAAAAPAAAAZHJzL2Rvd25yZXYueG1sRI9fa8Iw&#10;FMXfB36HcAd7m2mniFajyP4wcTBZN/D10tw1xeamJLF2334RBns8nHN+h7PaDLYVPfnQOFaQjzMQ&#10;xJXTDdcKvj5f7ucgQkTW2DomBT8UYLMe3ayw0O7CH9SXsRYJwqFABSbGrpAyVIYshrHriJP37bzF&#10;mKSvpfZ4SXDbyocsm0mLDacFgx09GqpO5dkqmJj9vm/sazl9OsTn9zP64+nwptTd7bBdgog0xP/w&#10;X3unFczyxXSRzSc5XC+lOyDXvwAAAP//AwBQSwECLQAUAAYACAAAACEA2+H2y+4AAACFAQAAEwAA&#10;AAAAAAAAAAAAAAAAAAAAW0NvbnRlbnRfVHlwZXNdLnhtbFBLAQItABQABgAIAAAAIQBa9CxbvwAA&#10;ABUBAAALAAAAAAAAAAAAAAAAAB8BAABfcmVscy8ucmVsc1BLAQItABQABgAIAAAAIQD6Ezp2ywAA&#10;AOIAAAAPAAAAAAAAAAAAAAAAAAcCAABkcnMvZG93bnJldi54bWxQSwUGAAAAAAMAAwC3AAAA/wIA&#10;AAAA&#10;" strokecolor="black [3213]" strokeweight="2pt">
                    <v:shadow on="t" color="black" opacity="24903f" origin=",.5" offset="0,.55556mm"/>
                  </v:line>
                  <v:line id="Connettore diritto 23" o:spid="_x0000_s1052" style="position:absolute;flip:x;visibility:visible;mso-wrap-style:square" from="44323,17526" to="44386,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E8ywAAAOIAAAAPAAAAZHJzL2Rvd25yZXYueG1sRI9fS8Mw&#10;FMXfhX2HcAe+uVStq6vLhvgHxwSHdeDrpbk2Zc1NSbKufnsjCD4ezjm/w1muR9uJgXxoHSu4nGUg&#10;iGunW24U7D+eL25BhIissXNMCr4pwHo1OVtiqd2J32moYiMShEOJCkyMfSllqA1ZDDPXEyfvy3mL&#10;MUnfSO3xlOC2k1dZNpcWW04LBnt6MFQfqqNVcG2226G1L1X+uItPb0f0n4fdq1Ln0/H+DkSkMf6H&#10;/9obraCYF1mRL25y+L2U7oBc/QAAAP//AwBQSwECLQAUAAYACAAAACEA2+H2y+4AAACFAQAAEwAA&#10;AAAAAAAAAAAAAAAAAAAAW0NvbnRlbnRfVHlwZXNdLnhtbFBLAQItABQABgAIAAAAIQBa9CxbvwAA&#10;ABUBAAALAAAAAAAAAAAAAAAAAB8BAABfcmVscy8ucmVsc1BLAQItABQABgAIAAAAIQDCTPE8ywAA&#10;AOIAAAAPAAAAAAAAAAAAAAAAAAcCAABkcnMvZG93bnJldi54bWxQSwUGAAAAAAMAAwC3AAAA/wIA&#10;AAAA&#10;" strokecolor="black [3213]" strokeweight="2pt">
                    <v:shadow on="t" color="black" opacity="24903f" origin=",.5" offset="0,.55556mm"/>
                  </v:line>
                </v:group>
                <w10:wrap anchorx="margin"/>
              </v:group>
            </w:pict>
          </mc:Fallback>
        </mc:AlternateContent>
      </w:r>
    </w:p>
    <w:p w14:paraId="76E61061" w14:textId="38D5DD01" w:rsidR="00231B0C" w:rsidRDefault="00231B0C">
      <w:pPr>
        <w:pBdr>
          <w:top w:val="nil"/>
          <w:left w:val="nil"/>
          <w:bottom w:val="nil"/>
          <w:right w:val="nil"/>
          <w:between w:val="nil"/>
        </w:pBdr>
        <w:spacing w:line="360" w:lineRule="auto"/>
        <w:jc w:val="both"/>
        <w:rPr>
          <w:color w:val="000000"/>
          <w:sz w:val="24"/>
          <w:szCs w:val="24"/>
        </w:rPr>
      </w:pPr>
    </w:p>
    <w:p w14:paraId="730F3EFD" w14:textId="77777777" w:rsidR="00231B0C" w:rsidRDefault="00231B0C">
      <w:pPr>
        <w:pBdr>
          <w:top w:val="nil"/>
          <w:left w:val="nil"/>
          <w:bottom w:val="nil"/>
          <w:right w:val="nil"/>
          <w:between w:val="nil"/>
        </w:pBdr>
        <w:spacing w:line="360" w:lineRule="auto"/>
        <w:jc w:val="both"/>
        <w:rPr>
          <w:color w:val="000000"/>
          <w:sz w:val="24"/>
          <w:szCs w:val="24"/>
        </w:rPr>
      </w:pPr>
    </w:p>
    <w:p w14:paraId="083407ED" w14:textId="77777777" w:rsidR="00AC123D" w:rsidRDefault="00AC123D">
      <w:pPr>
        <w:pBdr>
          <w:top w:val="nil"/>
          <w:left w:val="nil"/>
          <w:bottom w:val="nil"/>
          <w:right w:val="nil"/>
          <w:between w:val="nil"/>
        </w:pBdr>
        <w:spacing w:line="360" w:lineRule="auto"/>
        <w:jc w:val="both"/>
        <w:rPr>
          <w:color w:val="000000"/>
          <w:sz w:val="24"/>
          <w:szCs w:val="24"/>
        </w:rPr>
      </w:pPr>
    </w:p>
    <w:p w14:paraId="22DCE607" w14:textId="77777777" w:rsidR="00AC123D" w:rsidRDefault="00AC123D">
      <w:pPr>
        <w:pBdr>
          <w:top w:val="nil"/>
          <w:left w:val="nil"/>
          <w:bottom w:val="nil"/>
          <w:right w:val="nil"/>
          <w:between w:val="nil"/>
        </w:pBdr>
        <w:spacing w:line="360" w:lineRule="auto"/>
        <w:jc w:val="both"/>
        <w:rPr>
          <w:color w:val="000000"/>
          <w:sz w:val="24"/>
          <w:szCs w:val="24"/>
        </w:rPr>
      </w:pPr>
    </w:p>
    <w:p w14:paraId="0AB39182" w14:textId="77777777" w:rsidR="00AC123D" w:rsidRDefault="00AC123D">
      <w:pPr>
        <w:pBdr>
          <w:top w:val="nil"/>
          <w:left w:val="nil"/>
          <w:bottom w:val="nil"/>
          <w:right w:val="nil"/>
          <w:between w:val="nil"/>
        </w:pBdr>
        <w:spacing w:line="360" w:lineRule="auto"/>
        <w:jc w:val="both"/>
        <w:rPr>
          <w:color w:val="000000"/>
          <w:sz w:val="24"/>
          <w:szCs w:val="24"/>
        </w:rPr>
      </w:pPr>
    </w:p>
    <w:p w14:paraId="6323EC2B" w14:textId="77777777" w:rsidR="00AC123D" w:rsidRDefault="00AC123D">
      <w:pPr>
        <w:pBdr>
          <w:top w:val="nil"/>
          <w:left w:val="nil"/>
          <w:bottom w:val="nil"/>
          <w:right w:val="nil"/>
          <w:between w:val="nil"/>
        </w:pBdr>
        <w:spacing w:line="360" w:lineRule="auto"/>
        <w:jc w:val="both"/>
        <w:rPr>
          <w:color w:val="000000"/>
          <w:sz w:val="24"/>
          <w:szCs w:val="24"/>
        </w:rPr>
      </w:pPr>
    </w:p>
    <w:p w14:paraId="3EDB49BB" w14:textId="77777777" w:rsidR="00AC123D" w:rsidRDefault="00AC123D">
      <w:pPr>
        <w:pBdr>
          <w:top w:val="nil"/>
          <w:left w:val="nil"/>
          <w:bottom w:val="nil"/>
          <w:right w:val="nil"/>
          <w:between w:val="nil"/>
        </w:pBdr>
        <w:spacing w:line="360" w:lineRule="auto"/>
        <w:jc w:val="both"/>
        <w:rPr>
          <w:color w:val="000000"/>
          <w:sz w:val="24"/>
          <w:szCs w:val="24"/>
        </w:rPr>
      </w:pPr>
    </w:p>
    <w:p w14:paraId="1CE8E700" w14:textId="77777777" w:rsidR="00AC123D" w:rsidRDefault="00AC123D">
      <w:pPr>
        <w:pBdr>
          <w:top w:val="nil"/>
          <w:left w:val="nil"/>
          <w:bottom w:val="nil"/>
          <w:right w:val="nil"/>
          <w:between w:val="nil"/>
        </w:pBdr>
        <w:spacing w:line="360" w:lineRule="auto"/>
        <w:jc w:val="both"/>
        <w:rPr>
          <w:color w:val="000000"/>
          <w:sz w:val="24"/>
          <w:szCs w:val="24"/>
        </w:rPr>
      </w:pPr>
    </w:p>
    <w:p w14:paraId="21443019" w14:textId="77777777" w:rsidR="00AC123D" w:rsidRDefault="00AC123D">
      <w:pPr>
        <w:pBdr>
          <w:top w:val="nil"/>
          <w:left w:val="nil"/>
          <w:bottom w:val="nil"/>
          <w:right w:val="nil"/>
          <w:between w:val="nil"/>
        </w:pBdr>
        <w:spacing w:line="360" w:lineRule="auto"/>
        <w:jc w:val="both"/>
        <w:rPr>
          <w:color w:val="000000"/>
          <w:sz w:val="24"/>
          <w:szCs w:val="24"/>
        </w:rPr>
      </w:pPr>
    </w:p>
    <w:p w14:paraId="295475DB" w14:textId="77777777" w:rsidR="00AC123D" w:rsidRDefault="00AC123D">
      <w:pPr>
        <w:pBdr>
          <w:top w:val="nil"/>
          <w:left w:val="nil"/>
          <w:bottom w:val="nil"/>
          <w:right w:val="nil"/>
          <w:between w:val="nil"/>
        </w:pBdr>
        <w:spacing w:line="360" w:lineRule="auto"/>
        <w:jc w:val="both"/>
        <w:rPr>
          <w:color w:val="000000"/>
          <w:sz w:val="24"/>
          <w:szCs w:val="24"/>
        </w:rPr>
      </w:pPr>
    </w:p>
    <w:p w14:paraId="57FD36CC" w14:textId="77777777" w:rsidR="00AC123D" w:rsidRDefault="00AC123D">
      <w:pPr>
        <w:pBdr>
          <w:top w:val="nil"/>
          <w:left w:val="nil"/>
          <w:bottom w:val="nil"/>
          <w:right w:val="nil"/>
          <w:between w:val="nil"/>
        </w:pBdr>
        <w:spacing w:line="360" w:lineRule="auto"/>
        <w:jc w:val="both"/>
        <w:rPr>
          <w:color w:val="000000"/>
          <w:sz w:val="24"/>
          <w:szCs w:val="24"/>
        </w:rPr>
      </w:pPr>
    </w:p>
    <w:p w14:paraId="4024174E" w14:textId="77777777" w:rsidR="00AC123D" w:rsidRDefault="00AC123D">
      <w:pPr>
        <w:pBdr>
          <w:top w:val="nil"/>
          <w:left w:val="nil"/>
          <w:bottom w:val="nil"/>
          <w:right w:val="nil"/>
          <w:between w:val="nil"/>
        </w:pBdr>
        <w:spacing w:line="360" w:lineRule="auto"/>
        <w:jc w:val="both"/>
        <w:rPr>
          <w:color w:val="000000"/>
          <w:sz w:val="24"/>
          <w:szCs w:val="24"/>
        </w:rPr>
      </w:pPr>
    </w:p>
    <w:p w14:paraId="441526A3" w14:textId="77777777" w:rsidR="00AC123D" w:rsidRDefault="00AC123D">
      <w:pPr>
        <w:pBdr>
          <w:top w:val="nil"/>
          <w:left w:val="nil"/>
          <w:bottom w:val="nil"/>
          <w:right w:val="nil"/>
          <w:between w:val="nil"/>
        </w:pBdr>
        <w:spacing w:line="360" w:lineRule="auto"/>
        <w:jc w:val="both"/>
        <w:rPr>
          <w:color w:val="000000"/>
          <w:sz w:val="24"/>
          <w:szCs w:val="24"/>
        </w:rPr>
      </w:pPr>
    </w:p>
    <w:p w14:paraId="0AD67CA8" w14:textId="77777777" w:rsidR="00AC123D" w:rsidRDefault="00AC123D">
      <w:pPr>
        <w:pBdr>
          <w:top w:val="nil"/>
          <w:left w:val="nil"/>
          <w:bottom w:val="nil"/>
          <w:right w:val="nil"/>
          <w:between w:val="nil"/>
        </w:pBdr>
        <w:spacing w:line="360" w:lineRule="auto"/>
        <w:jc w:val="both"/>
        <w:rPr>
          <w:color w:val="000000"/>
          <w:sz w:val="24"/>
          <w:szCs w:val="24"/>
        </w:rPr>
      </w:pPr>
    </w:p>
    <w:p w14:paraId="70531BE3" w14:textId="77777777" w:rsidR="00AC123D" w:rsidRDefault="00AC123D">
      <w:pPr>
        <w:pBdr>
          <w:top w:val="nil"/>
          <w:left w:val="nil"/>
          <w:bottom w:val="nil"/>
          <w:right w:val="nil"/>
          <w:between w:val="nil"/>
        </w:pBdr>
        <w:spacing w:line="360" w:lineRule="auto"/>
        <w:jc w:val="both"/>
        <w:rPr>
          <w:color w:val="000000"/>
          <w:sz w:val="24"/>
          <w:szCs w:val="24"/>
        </w:rPr>
      </w:pPr>
    </w:p>
    <w:p w14:paraId="6315AB17" w14:textId="77777777" w:rsidR="00AC123D" w:rsidRDefault="00AC123D">
      <w:pPr>
        <w:pBdr>
          <w:top w:val="nil"/>
          <w:left w:val="nil"/>
          <w:bottom w:val="nil"/>
          <w:right w:val="nil"/>
          <w:between w:val="nil"/>
        </w:pBdr>
        <w:spacing w:line="360" w:lineRule="auto"/>
        <w:jc w:val="both"/>
        <w:rPr>
          <w:color w:val="000000"/>
          <w:sz w:val="24"/>
          <w:szCs w:val="24"/>
        </w:rPr>
      </w:pPr>
    </w:p>
    <w:p w14:paraId="66F43A78" w14:textId="77777777" w:rsidR="00AC123D" w:rsidRDefault="00AC123D">
      <w:pPr>
        <w:pBdr>
          <w:top w:val="nil"/>
          <w:left w:val="nil"/>
          <w:bottom w:val="nil"/>
          <w:right w:val="nil"/>
          <w:between w:val="nil"/>
        </w:pBdr>
        <w:spacing w:line="360" w:lineRule="auto"/>
        <w:jc w:val="both"/>
        <w:rPr>
          <w:color w:val="000000"/>
          <w:sz w:val="24"/>
          <w:szCs w:val="24"/>
        </w:rPr>
      </w:pPr>
    </w:p>
    <w:p w14:paraId="7459F54B" w14:textId="77777777" w:rsidR="00AC123D" w:rsidRDefault="00AC123D">
      <w:pPr>
        <w:pBdr>
          <w:top w:val="nil"/>
          <w:left w:val="nil"/>
          <w:bottom w:val="nil"/>
          <w:right w:val="nil"/>
          <w:between w:val="nil"/>
        </w:pBdr>
        <w:spacing w:line="360" w:lineRule="auto"/>
        <w:jc w:val="both"/>
        <w:rPr>
          <w:color w:val="000000"/>
          <w:sz w:val="24"/>
          <w:szCs w:val="24"/>
        </w:rPr>
      </w:pPr>
    </w:p>
    <w:p w14:paraId="1B17F7FA" w14:textId="77777777" w:rsidR="00AC123D" w:rsidRDefault="00AC123D">
      <w:pPr>
        <w:pBdr>
          <w:top w:val="nil"/>
          <w:left w:val="nil"/>
          <w:bottom w:val="nil"/>
          <w:right w:val="nil"/>
          <w:between w:val="nil"/>
        </w:pBdr>
        <w:spacing w:line="360" w:lineRule="auto"/>
        <w:jc w:val="both"/>
        <w:rPr>
          <w:color w:val="000000"/>
          <w:sz w:val="24"/>
          <w:szCs w:val="24"/>
        </w:rPr>
      </w:pPr>
    </w:p>
    <w:p w14:paraId="2AF06387"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*Non autorizzato da AIFA</w:t>
      </w:r>
    </w:p>
    <w:p w14:paraId="6326F002" w14:textId="32F8DD1E" w:rsidR="00231B0C" w:rsidRDefault="00231B0C">
      <w:pPr>
        <w:pBdr>
          <w:top w:val="nil"/>
          <w:left w:val="nil"/>
          <w:bottom w:val="nil"/>
          <w:right w:val="nil"/>
          <w:between w:val="nil"/>
        </w:pBdr>
        <w:spacing w:line="360" w:lineRule="auto"/>
        <w:jc w:val="both"/>
        <w:rPr>
          <w:color w:val="000000"/>
          <w:sz w:val="24"/>
          <w:szCs w:val="24"/>
        </w:rPr>
      </w:pPr>
    </w:p>
    <w:p w14:paraId="10479CDF" w14:textId="2659C9BD" w:rsidR="0022386E" w:rsidRDefault="0022386E">
      <w:pPr>
        <w:pBdr>
          <w:top w:val="nil"/>
          <w:left w:val="nil"/>
          <w:bottom w:val="nil"/>
          <w:right w:val="nil"/>
          <w:between w:val="nil"/>
        </w:pBdr>
        <w:spacing w:line="360" w:lineRule="auto"/>
        <w:jc w:val="both"/>
        <w:rPr>
          <w:color w:val="000000"/>
          <w:sz w:val="24"/>
          <w:szCs w:val="24"/>
        </w:rPr>
      </w:pPr>
    </w:p>
    <w:p w14:paraId="5D9D3060" w14:textId="7255AF1C" w:rsidR="0022386E" w:rsidRDefault="0022386E">
      <w:pPr>
        <w:pBdr>
          <w:top w:val="nil"/>
          <w:left w:val="nil"/>
          <w:bottom w:val="nil"/>
          <w:right w:val="nil"/>
          <w:between w:val="nil"/>
        </w:pBdr>
        <w:spacing w:line="360" w:lineRule="auto"/>
        <w:jc w:val="both"/>
        <w:rPr>
          <w:color w:val="000000"/>
          <w:sz w:val="24"/>
          <w:szCs w:val="24"/>
        </w:rPr>
      </w:pPr>
    </w:p>
    <w:p w14:paraId="5C2BB603" w14:textId="13F28036" w:rsidR="0022386E" w:rsidRDefault="0022386E">
      <w:pPr>
        <w:pBdr>
          <w:top w:val="nil"/>
          <w:left w:val="nil"/>
          <w:bottom w:val="nil"/>
          <w:right w:val="nil"/>
          <w:between w:val="nil"/>
        </w:pBdr>
        <w:spacing w:line="360" w:lineRule="auto"/>
        <w:jc w:val="both"/>
        <w:rPr>
          <w:color w:val="000000"/>
          <w:sz w:val="24"/>
          <w:szCs w:val="24"/>
        </w:rPr>
      </w:pPr>
    </w:p>
    <w:p w14:paraId="592D5967" w14:textId="3BCBB0B1" w:rsidR="0022386E" w:rsidRDefault="0022386E">
      <w:pPr>
        <w:pBdr>
          <w:top w:val="nil"/>
          <w:left w:val="nil"/>
          <w:bottom w:val="nil"/>
          <w:right w:val="nil"/>
          <w:between w:val="nil"/>
        </w:pBdr>
        <w:spacing w:line="360" w:lineRule="auto"/>
        <w:jc w:val="both"/>
        <w:rPr>
          <w:color w:val="000000"/>
          <w:sz w:val="24"/>
          <w:szCs w:val="24"/>
        </w:rPr>
      </w:pPr>
    </w:p>
    <w:p w14:paraId="10463BD6" w14:textId="717249CB" w:rsidR="0022386E" w:rsidRDefault="0022386E">
      <w:pPr>
        <w:pBdr>
          <w:top w:val="nil"/>
          <w:left w:val="nil"/>
          <w:bottom w:val="nil"/>
          <w:right w:val="nil"/>
          <w:between w:val="nil"/>
        </w:pBdr>
        <w:spacing w:line="360" w:lineRule="auto"/>
        <w:jc w:val="both"/>
        <w:rPr>
          <w:color w:val="000000"/>
          <w:sz w:val="24"/>
          <w:szCs w:val="24"/>
        </w:rPr>
      </w:pPr>
    </w:p>
    <w:p w14:paraId="4885F4C5" w14:textId="560C0581" w:rsidR="0022386E" w:rsidRDefault="0022386E">
      <w:pPr>
        <w:pBdr>
          <w:top w:val="nil"/>
          <w:left w:val="nil"/>
          <w:bottom w:val="nil"/>
          <w:right w:val="nil"/>
          <w:between w:val="nil"/>
        </w:pBdr>
        <w:spacing w:line="360" w:lineRule="auto"/>
        <w:jc w:val="both"/>
        <w:rPr>
          <w:color w:val="000000"/>
          <w:sz w:val="24"/>
          <w:szCs w:val="24"/>
        </w:rPr>
      </w:pPr>
    </w:p>
    <w:p w14:paraId="263BFAD5" w14:textId="66129677" w:rsidR="0022386E" w:rsidRDefault="0022386E">
      <w:pPr>
        <w:pBdr>
          <w:top w:val="nil"/>
          <w:left w:val="nil"/>
          <w:bottom w:val="nil"/>
          <w:right w:val="nil"/>
          <w:between w:val="nil"/>
        </w:pBdr>
        <w:spacing w:line="360" w:lineRule="auto"/>
        <w:jc w:val="both"/>
        <w:rPr>
          <w:color w:val="000000"/>
          <w:sz w:val="24"/>
          <w:szCs w:val="24"/>
        </w:rPr>
      </w:pPr>
    </w:p>
    <w:p w14:paraId="7223524E" w14:textId="50197CEF" w:rsidR="0022386E" w:rsidRDefault="0022386E">
      <w:pPr>
        <w:pBdr>
          <w:top w:val="nil"/>
          <w:left w:val="nil"/>
          <w:bottom w:val="nil"/>
          <w:right w:val="nil"/>
          <w:between w:val="nil"/>
        </w:pBdr>
        <w:spacing w:line="360" w:lineRule="auto"/>
        <w:jc w:val="both"/>
        <w:rPr>
          <w:color w:val="000000"/>
          <w:sz w:val="24"/>
          <w:szCs w:val="24"/>
        </w:rPr>
      </w:pPr>
    </w:p>
    <w:p w14:paraId="7CDACDBD" w14:textId="7113C198" w:rsidR="0022386E" w:rsidRDefault="0022386E">
      <w:pPr>
        <w:pBdr>
          <w:top w:val="nil"/>
          <w:left w:val="nil"/>
          <w:bottom w:val="nil"/>
          <w:right w:val="nil"/>
          <w:between w:val="nil"/>
        </w:pBdr>
        <w:spacing w:line="360" w:lineRule="auto"/>
        <w:jc w:val="both"/>
        <w:rPr>
          <w:color w:val="000000"/>
          <w:sz w:val="24"/>
          <w:szCs w:val="24"/>
        </w:rPr>
      </w:pPr>
    </w:p>
    <w:p w14:paraId="1DF6E0D4" w14:textId="231BDB31" w:rsidR="0022386E" w:rsidRDefault="0022386E">
      <w:pPr>
        <w:pBdr>
          <w:top w:val="nil"/>
          <w:left w:val="nil"/>
          <w:bottom w:val="nil"/>
          <w:right w:val="nil"/>
          <w:between w:val="nil"/>
        </w:pBdr>
        <w:spacing w:line="360" w:lineRule="auto"/>
        <w:jc w:val="both"/>
        <w:rPr>
          <w:color w:val="000000"/>
          <w:sz w:val="24"/>
          <w:szCs w:val="24"/>
        </w:rPr>
      </w:pPr>
    </w:p>
    <w:p w14:paraId="7EB4A6C9" w14:textId="736F71DD" w:rsidR="0022386E" w:rsidRDefault="0022386E">
      <w:pPr>
        <w:pBdr>
          <w:top w:val="nil"/>
          <w:left w:val="nil"/>
          <w:bottom w:val="nil"/>
          <w:right w:val="nil"/>
          <w:between w:val="nil"/>
        </w:pBdr>
        <w:spacing w:line="360" w:lineRule="auto"/>
        <w:jc w:val="both"/>
        <w:rPr>
          <w:color w:val="000000"/>
          <w:sz w:val="24"/>
          <w:szCs w:val="24"/>
        </w:rPr>
      </w:pPr>
    </w:p>
    <w:p w14:paraId="15702D70" w14:textId="0B8BE8CC" w:rsidR="0022386E" w:rsidRDefault="0022386E">
      <w:pPr>
        <w:pBdr>
          <w:top w:val="nil"/>
          <w:left w:val="nil"/>
          <w:bottom w:val="nil"/>
          <w:right w:val="nil"/>
          <w:between w:val="nil"/>
        </w:pBdr>
        <w:spacing w:line="360" w:lineRule="auto"/>
        <w:jc w:val="both"/>
        <w:rPr>
          <w:color w:val="000000"/>
          <w:sz w:val="24"/>
          <w:szCs w:val="24"/>
        </w:rPr>
      </w:pPr>
    </w:p>
    <w:p w14:paraId="116E9C0D" w14:textId="77777777" w:rsidR="0022386E" w:rsidRDefault="0022386E">
      <w:pPr>
        <w:pBdr>
          <w:top w:val="nil"/>
          <w:left w:val="nil"/>
          <w:bottom w:val="nil"/>
          <w:right w:val="nil"/>
          <w:between w:val="nil"/>
        </w:pBdr>
        <w:spacing w:line="360" w:lineRule="auto"/>
        <w:jc w:val="both"/>
        <w:rPr>
          <w:color w:val="000000"/>
          <w:sz w:val="24"/>
          <w:szCs w:val="24"/>
        </w:rPr>
      </w:pPr>
    </w:p>
    <w:p w14:paraId="67D25EE1" w14:textId="079AE0EE"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TRATTAMENTO MEDICO DI II LINEA DEI PAZIENTI AFFETTI DA CARCINOMA A CELLULE RENALI IN FASE METASTATICA</w:t>
      </w:r>
    </w:p>
    <w:p w14:paraId="0C8EDBFF" w14:textId="77777777" w:rsidR="00231B0C" w:rsidRDefault="008D7880">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Prima della approvazione delle doppiette IO-TKI e IO-IO in prima linea, il Nivolumab e il Cabozantinib in monoterapia rappresentavano le due opzioni terapeutiche più utilizzate.</w:t>
      </w:r>
    </w:p>
    <w:p w14:paraId="5F9A7B95" w14:textId="1CE3523C" w:rsidR="00231B0C" w:rsidRDefault="001F47AB">
      <w:pPr>
        <w:widowControl w:val="0"/>
        <w:pBdr>
          <w:top w:val="nil"/>
          <w:left w:val="nil"/>
          <w:bottom w:val="nil"/>
          <w:right w:val="nil"/>
          <w:between w:val="nil"/>
        </w:pBdr>
        <w:spacing w:line="360" w:lineRule="auto"/>
        <w:ind w:right="185"/>
        <w:jc w:val="both"/>
        <w:rPr>
          <w:color w:val="000000"/>
          <w:sz w:val="24"/>
          <w:szCs w:val="24"/>
        </w:rPr>
      </w:pPr>
      <w:r>
        <w:rPr>
          <w:color w:val="000000"/>
          <w:sz w:val="24"/>
          <w:szCs w:val="24"/>
        </w:rPr>
        <w:t xml:space="preserve">Post-hoc analisi e recenti studi prospettici hanno evidenziato come il Cabozantinib possa rappresentare l’opzione preferibile dopo precedente immunoterapia. Pertanto, ad oggi, nei pazienti pre-trattati con la combinazione IO-IO, l’opzione preferibile in seconda linea è rappresentata dal Cabozantinib. invece, nei pazienti pre-trattati con la combinazione IO-TKI si può prendere in considerazione l’utilizzo di un TKI non usato in precedenza, l’inibitore di mTOR o la combinazione Lenvatinib+Everolimus. Quest’ultima, tuttavia non ha ancora ricevuto la rimborsabilità dall’AIFA. Nei pazienti invece che continuano ad utilizzare un TKI in prima linea le opzioni sono Cabozantinib, Axitinib, Sorafenib e Nivolumab come trattamento di seconda linea e successive linee oppure l’m-TOR inibitore (Everolimus utilizzato nelle linee successive alla seconda). </w:t>
      </w:r>
    </w:p>
    <w:p w14:paraId="5EBF8375" w14:textId="77777777" w:rsidR="00AC123D" w:rsidRDefault="00AC123D">
      <w:pPr>
        <w:pBdr>
          <w:top w:val="nil"/>
          <w:left w:val="nil"/>
          <w:bottom w:val="nil"/>
          <w:right w:val="nil"/>
          <w:between w:val="nil"/>
        </w:pBdr>
        <w:spacing w:line="360" w:lineRule="auto"/>
        <w:jc w:val="center"/>
        <w:rPr>
          <w:color w:val="000000"/>
          <w:sz w:val="24"/>
          <w:szCs w:val="24"/>
        </w:rPr>
      </w:pPr>
    </w:p>
    <w:p w14:paraId="67AD247C" w14:textId="77777777" w:rsidR="00AC123D" w:rsidRDefault="00AC123D">
      <w:pPr>
        <w:pBdr>
          <w:top w:val="nil"/>
          <w:left w:val="nil"/>
          <w:bottom w:val="nil"/>
          <w:right w:val="nil"/>
          <w:between w:val="nil"/>
        </w:pBdr>
        <w:spacing w:line="360" w:lineRule="auto"/>
        <w:jc w:val="center"/>
        <w:rPr>
          <w:color w:val="000000"/>
          <w:sz w:val="24"/>
          <w:szCs w:val="24"/>
        </w:rPr>
      </w:pPr>
    </w:p>
    <w:p w14:paraId="10E6BEF4" w14:textId="250DA835" w:rsidR="00AC123D" w:rsidRDefault="00546DB0">
      <w:pPr>
        <w:pBdr>
          <w:top w:val="nil"/>
          <w:left w:val="nil"/>
          <w:bottom w:val="nil"/>
          <w:right w:val="nil"/>
          <w:between w:val="nil"/>
        </w:pBdr>
        <w:spacing w:line="360" w:lineRule="auto"/>
        <w:jc w:val="center"/>
        <w:rPr>
          <w:color w:val="000000"/>
          <w:sz w:val="24"/>
          <w:szCs w:val="24"/>
        </w:rPr>
      </w:pPr>
      <w:r>
        <w:rPr>
          <w:b/>
          <w:noProof/>
          <w:position w:val="-1"/>
          <w:sz w:val="28"/>
          <w:szCs w:val="28"/>
        </w:rPr>
        <mc:AlternateContent>
          <mc:Choice Requires="wpg">
            <w:drawing>
              <wp:anchor distT="0" distB="0" distL="114300" distR="114300" simplePos="0" relativeHeight="251672576" behindDoc="0" locked="0" layoutInCell="1" allowOverlap="1" wp14:anchorId="577EF494" wp14:editId="533A28A2">
                <wp:simplePos x="0" y="0"/>
                <wp:positionH relativeFrom="margin">
                  <wp:align>left</wp:align>
                </wp:positionH>
                <wp:positionV relativeFrom="paragraph">
                  <wp:posOffset>264160</wp:posOffset>
                </wp:positionV>
                <wp:extent cx="5194300" cy="3115733"/>
                <wp:effectExtent l="0" t="0" r="25400" b="27940"/>
                <wp:wrapNone/>
                <wp:docPr id="1003610716" name="Gruppo 27"/>
                <wp:cNvGraphicFramePr/>
                <a:graphic xmlns:a="http://schemas.openxmlformats.org/drawingml/2006/main">
                  <a:graphicData uri="http://schemas.microsoft.com/office/word/2010/wordprocessingGroup">
                    <wpg:wgp>
                      <wpg:cNvGrpSpPr/>
                      <wpg:grpSpPr>
                        <a:xfrm>
                          <a:off x="0" y="0"/>
                          <a:ext cx="5194300" cy="3115733"/>
                          <a:chOff x="0" y="217140"/>
                          <a:chExt cx="5194300" cy="2830860"/>
                        </a:xfrm>
                      </wpg:grpSpPr>
                      <wps:wsp>
                        <wps:cNvPr id="672161571" name="Connettore diritto 20"/>
                        <wps:cNvCnPr/>
                        <wps:spPr>
                          <a:xfrm>
                            <a:off x="1332186" y="1389993"/>
                            <a:ext cx="252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1614756087" name="Gruppo 26"/>
                        <wpg:cNvGrpSpPr/>
                        <wpg:grpSpPr>
                          <a:xfrm>
                            <a:off x="0" y="217140"/>
                            <a:ext cx="5194300" cy="2830860"/>
                            <a:chOff x="0" y="217140"/>
                            <a:chExt cx="5194300" cy="2830860"/>
                          </a:xfrm>
                        </wpg:grpSpPr>
                        <wpg:grpSp>
                          <wpg:cNvPr id="1760406809" name="Gruppo 14"/>
                          <wpg:cNvGrpSpPr/>
                          <wpg:grpSpPr>
                            <a:xfrm>
                              <a:off x="0" y="217140"/>
                              <a:ext cx="5194300" cy="2830860"/>
                              <a:chOff x="0" y="241556"/>
                              <a:chExt cx="6368123" cy="3149172"/>
                            </a:xfrm>
                          </wpg:grpSpPr>
                          <wps:wsp>
                            <wps:cNvPr id="1803374710" name="Casella di testo 1"/>
                            <wps:cNvSpPr txBox="1"/>
                            <wps:spPr>
                              <a:xfrm>
                                <a:off x="0" y="2057400"/>
                                <a:ext cx="2970873" cy="1333328"/>
                              </a:xfrm>
                              <a:prstGeom prst="roundRect">
                                <a:avLst/>
                              </a:prstGeom>
                              <a:solidFill>
                                <a:srgbClr val="FFC000"/>
                              </a:solidFill>
                              <a:ln w="9525" cap="flat" cmpd="sng" algn="ctr">
                                <a:solidFill>
                                  <a:srgbClr val="000000"/>
                                </a:solidFill>
                                <a:miter lim="800000"/>
                                <a:headEnd/>
                                <a:tailEnd/>
                              </a:ln>
                            </wps:spPr>
                            <wps:txbx>
                              <w:txbxContent>
                                <w:p w14:paraId="5E1D8185"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rPr>
                                  </w:pPr>
                                  <w:r w:rsidRPr="07275375" w:rsidDel="FFFFFFFF">
                                    <w:rPr>
                                      <w:b/>
                                      <w:position w:val="-1"/>
                                      <w:sz w:val="22"/>
                                      <w:szCs w:val="22"/>
                                    </w:rPr>
                                    <w:t>AntiVEGF/VEGR-r</w:t>
                                  </w:r>
                                </w:p>
                                <w:p w14:paraId="2CFEB6D7"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rPr>
                                  </w:pPr>
                                  <w:r w:rsidRPr="07275375" w:rsidDel="FFFFFFFF">
                                    <w:rPr>
                                      <w:position w:val="-1"/>
                                      <w:sz w:val="22"/>
                                      <w:szCs w:val="22"/>
                                    </w:rPr>
                                    <w:t xml:space="preserve">Nivolumab </w:t>
                                  </w:r>
                                </w:p>
                                <w:p w14:paraId="42B922AF"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rPr>
                                  </w:pPr>
                                  <w:r w:rsidRPr="07275375" w:rsidDel="FFFFFFFF">
                                    <w:rPr>
                                      <w:position w:val="-1"/>
                                      <w:sz w:val="22"/>
                                      <w:szCs w:val="22"/>
                                    </w:rPr>
                                    <w:t>Cabozantinib</w:t>
                                  </w:r>
                                </w:p>
                                <w:p w14:paraId="53745F7A"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7275375" w:rsidDel="FFFFFFFF">
                                    <w:rPr>
                                      <w:position w:val="-1"/>
                                      <w:sz w:val="22"/>
                                      <w:szCs w:val="22"/>
                                    </w:rPr>
                                    <w:t>Axitinib</w:t>
                                  </w:r>
                                  <w:r w:rsidRPr="07275375" w:rsidDel="FFFFFFFF">
                                    <w:rPr>
                                      <w:position w:val="-1"/>
                                      <w:sz w:val="22"/>
                                      <w:szCs w:val="22"/>
                                      <w:vertAlign w:val="superscript"/>
                                    </w:rPr>
                                    <w:t>1</w:t>
                                  </w:r>
                                </w:p>
                                <w:p w14:paraId="327FA53C"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7275375" w:rsidDel="FFFFFFFF">
                                    <w:rPr>
                                      <w:position w:val="-1"/>
                                      <w:sz w:val="22"/>
                                      <w:szCs w:val="22"/>
                                    </w:rPr>
                                    <w:t>Everolimus</w:t>
                                  </w:r>
                                  <w:r w:rsidRPr="07275375" w:rsidDel="FFFFFFFF">
                                    <w:rPr>
                                      <w:position w:val="-1"/>
                                      <w:sz w:val="22"/>
                                      <w:szCs w:val="22"/>
                                      <w:vertAlign w:val="superscript"/>
                                    </w:rPr>
                                    <w:t>2</w:t>
                                  </w:r>
                                </w:p>
                                <w:p w14:paraId="65F2C76F"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7275375" w:rsidDel="FFFFFFFF">
                                    <w:rPr>
                                      <w:position w:val="-1"/>
                                      <w:sz w:val="22"/>
                                      <w:szCs w:val="22"/>
                                    </w:rPr>
                                    <w:t>Sorafenib</w:t>
                                  </w:r>
                                  <w:r w:rsidRPr="07275375" w:rsidDel="FFFFFFFF">
                                    <w:rPr>
                                      <w:position w:val="-1"/>
                                      <w:sz w:val="22"/>
                                      <w:szCs w:val="22"/>
                                      <w:vertAlign w:val="superscript"/>
                                    </w:rPr>
                                    <w:t>2</w:t>
                                  </w:r>
                                </w:p>
                                <w:p w14:paraId="2DD9E8F5"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7275375" w:rsidDel="FFFFFFFF">
                                    <w:rPr>
                                      <w:position w:val="-1"/>
                                      <w:sz w:val="22"/>
                                      <w:szCs w:val="22"/>
                                    </w:rPr>
                                    <w:t>Everolimus+Lenvatinib</w:t>
                                  </w:r>
                                  <w:r w:rsidRPr="FFFFFFFF" w:rsidDel="FFFFFFFF">
                                    <w:rPr>
                                      <w:position w:val="-1"/>
                                      <w:sz w:val="22"/>
                                      <w:szCs w:val="22"/>
                                      <w:vertAlign w:val="superscript"/>
                                    </w:rPr>
                                    <w:t>3</w:t>
                                  </w:r>
                                </w:p>
                                <w:p w14:paraId="1BCACD9B" w14:textId="77777777" w:rsidR="00546DB0" w:rsidRDefault="00546DB0" w:rsidP="00425A04">
                                  <w:pPr>
                                    <w:suppressAutoHyphens/>
                                    <w:spacing w:line="1" w:lineRule="atLeast"/>
                                    <w:textDirection w:val="btLr"/>
                                    <w:textAlignment w:val="top"/>
                                    <w:outlineLvl w:val="0"/>
                                    <w:rPr>
                                      <w:position w:val="-1"/>
                                      <w:sz w:val="22"/>
                                      <w:szCs w:val="22"/>
                                    </w:rPr>
                                  </w:pPr>
                                </w:p>
                                <w:p w14:paraId="4E3E7B8A" w14:textId="77777777" w:rsidR="00546DB0" w:rsidRDefault="00546DB0" w:rsidP="00546DB0">
                                  <w:pPr>
                                    <w:suppressAutoHyphens/>
                                    <w:spacing w:line="1" w:lineRule="atLeast"/>
                                    <w:ind w:leftChars="-1" w:hangingChars="1" w:hanging="2"/>
                                    <w:textDirection w:val="btLr"/>
                                    <w:textAlignment w:val="top"/>
                                    <w:outlineLvl w:val="0"/>
                                    <w:rPr>
                                      <w:position w:val="-1"/>
                                    </w:rPr>
                                  </w:pPr>
                                </w:p>
                              </w:txbxContent>
                            </wps:txbx>
                            <wps:bodyPr/>
                          </wps:wsp>
                          <wpg:grpSp>
                            <wpg:cNvPr id="1789589415" name="Gruppo 12"/>
                            <wpg:cNvGrpSpPr/>
                            <wpg:grpSpPr>
                              <a:xfrm>
                                <a:off x="1123950" y="241556"/>
                                <a:ext cx="5244173" cy="3045584"/>
                                <a:chOff x="0" y="241556"/>
                                <a:chExt cx="5244173" cy="3045584"/>
                              </a:xfrm>
                            </wpg:grpSpPr>
                            <wps:wsp>
                              <wps:cNvPr id="725982707" name="Casella di testo 1"/>
                              <wps:cNvSpPr txBox="1"/>
                              <wps:spPr>
                                <a:xfrm>
                                  <a:off x="0" y="241556"/>
                                  <a:ext cx="3973543" cy="681142"/>
                                </a:xfrm>
                                <a:prstGeom prst="roundRect">
                                  <a:avLst/>
                                </a:prstGeom>
                                <a:solidFill>
                                  <a:srgbClr val="FFC000"/>
                                </a:solidFill>
                                <a:ln w="9525" cap="flat" cmpd="sng" algn="ctr">
                                  <a:solidFill>
                                    <a:srgbClr val="000000"/>
                                  </a:solidFill>
                                  <a:miter lim="800000"/>
                                  <a:headEnd/>
                                  <a:tailEnd/>
                                </a:ln>
                              </wps:spPr>
                              <wps:txbx>
                                <w:txbxContent>
                                  <w:p w14:paraId="4E163ADE" w14:textId="6EA227D8" w:rsidR="00546DB0" w:rsidRPr="006802B4" w:rsidRDefault="00546DB0" w:rsidP="00546DB0">
                                    <w:pPr>
                                      <w:suppressAutoHyphens/>
                                      <w:spacing w:line="1" w:lineRule="atLeast"/>
                                      <w:ind w:leftChars="-1" w:left="1" w:hangingChars="1" w:hanging="3"/>
                                      <w:jc w:val="center"/>
                                      <w:textDirection w:val="btLr"/>
                                      <w:textAlignment w:val="top"/>
                                      <w:outlineLvl w:val="0"/>
                                      <w:rPr>
                                        <w:position w:val="-1"/>
                                        <w:sz w:val="28"/>
                                        <w:szCs w:val="28"/>
                                      </w:rPr>
                                    </w:pPr>
                                    <w:r w:rsidRPr="07025767" w:rsidDel="FFFFFFFF">
                                      <w:rPr>
                                        <w:b/>
                                        <w:position w:val="-1"/>
                                        <w:sz w:val="28"/>
                                        <w:szCs w:val="28"/>
                                      </w:rPr>
                                      <w:t>Pazienti con malattia met</w:t>
                                    </w:r>
                                    <w:r w:rsidRPr="FFFFFFFF" w:rsidDel="FFFFFFFF">
                                      <w:rPr>
                                        <w:b/>
                                        <w:position w:val="-1"/>
                                        <w:sz w:val="28"/>
                                        <w:szCs w:val="28"/>
                                      </w:rPr>
                                      <w:t xml:space="preserve">astatica </w:t>
                                    </w:r>
                                    <w:r w:rsidR="001C133F">
                                      <w:rPr>
                                        <w:b/>
                                        <w:position w:val="-1"/>
                                        <w:sz w:val="28"/>
                                        <w:szCs w:val="28"/>
                                      </w:rPr>
                                      <w:t>pretrattati (linee successive)</w:t>
                                    </w:r>
                                  </w:p>
                                </w:txbxContent>
                              </wps:txbx>
                              <wps:bodyPr/>
                            </wps:wsp>
                            <wps:wsp>
                              <wps:cNvPr id="2126331702" name="Casella di testo 1"/>
                              <wps:cNvSpPr txBox="1"/>
                              <wps:spPr>
                                <a:xfrm>
                                  <a:off x="2273300" y="2067938"/>
                                  <a:ext cx="2970873" cy="1219202"/>
                                </a:xfrm>
                                <a:prstGeom prst="roundRect">
                                  <a:avLst/>
                                </a:prstGeom>
                                <a:solidFill>
                                  <a:srgbClr val="FFC000"/>
                                </a:solidFill>
                                <a:ln w="9525" cap="flat" cmpd="sng" algn="ctr">
                                  <a:solidFill>
                                    <a:srgbClr val="000000"/>
                                  </a:solidFill>
                                  <a:miter lim="800000"/>
                                  <a:headEnd/>
                                  <a:tailEnd/>
                                </a:ln>
                              </wps:spPr>
                              <wps:txbx>
                                <w:txbxContent>
                                  <w:p w14:paraId="52F00DB1" w14:textId="77777777" w:rsidR="00546DB0" w:rsidRDefault="00546DB0" w:rsidP="00546DB0">
                                    <w:pPr>
                                      <w:suppressAutoHyphens/>
                                      <w:spacing w:line="1" w:lineRule="atLeast"/>
                                      <w:ind w:leftChars="-1" w:hangingChars="1" w:hanging="2"/>
                                      <w:jc w:val="center"/>
                                      <w:textDirection w:val="btLr"/>
                                      <w:textAlignment w:val="top"/>
                                      <w:outlineLvl w:val="0"/>
                                      <w:rPr>
                                        <w:position w:val="-1"/>
                                      </w:rPr>
                                    </w:pPr>
                                    <w:r w:rsidRPr="07025767" w:rsidDel="FFFFFFFF">
                                      <w:rPr>
                                        <w:b/>
                                        <w:position w:val="-1"/>
                                      </w:rPr>
                                      <w:t>AntiPD-1/PDL-1</w:t>
                                    </w:r>
                                  </w:p>
                                  <w:p w14:paraId="5E4A2101"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rPr>
                                    </w:pPr>
                                    <w:r w:rsidRPr="00938456" w:rsidDel="FFFFFFFF">
                                      <w:rPr>
                                        <w:position w:val="-1"/>
                                        <w:sz w:val="22"/>
                                        <w:szCs w:val="22"/>
                                      </w:rPr>
                                      <w:t>Caboz</w:t>
                                    </w:r>
                                    <w:r w:rsidRPr="FFFFFFFF" w:rsidDel="FFFFFFFF">
                                      <w:rPr>
                                        <w:position w:val="-1"/>
                                        <w:sz w:val="22"/>
                                        <w:szCs w:val="22"/>
                                      </w:rPr>
                                      <w:t>a</w:t>
                                    </w:r>
                                    <w:r w:rsidRPr="00938456" w:rsidDel="FFFFFFFF">
                                      <w:rPr>
                                        <w:position w:val="-1"/>
                                        <w:sz w:val="22"/>
                                        <w:szCs w:val="22"/>
                                      </w:rPr>
                                      <w:t>ntinib</w:t>
                                    </w:r>
                                  </w:p>
                                  <w:p w14:paraId="5CE11E2B"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0938456" w:rsidDel="FFFFFFFF">
                                      <w:rPr>
                                        <w:position w:val="-1"/>
                                        <w:sz w:val="22"/>
                                        <w:szCs w:val="22"/>
                                      </w:rPr>
                                      <w:t>Axitinib</w:t>
                                    </w:r>
                                    <w:r w:rsidRPr="00938456" w:rsidDel="FFFFFFFF">
                                      <w:rPr>
                                        <w:position w:val="-1"/>
                                        <w:sz w:val="22"/>
                                        <w:szCs w:val="22"/>
                                        <w:vertAlign w:val="superscript"/>
                                      </w:rPr>
                                      <w:t>1</w:t>
                                    </w:r>
                                  </w:p>
                                  <w:p w14:paraId="434F4CA9"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0938456" w:rsidDel="FFFFFFFF">
                                      <w:rPr>
                                        <w:position w:val="-1"/>
                                        <w:sz w:val="22"/>
                                        <w:szCs w:val="22"/>
                                      </w:rPr>
                                      <w:t>Everolimus</w:t>
                                    </w:r>
                                    <w:r w:rsidRPr="00938456" w:rsidDel="FFFFFFFF">
                                      <w:rPr>
                                        <w:position w:val="-1"/>
                                        <w:sz w:val="22"/>
                                        <w:szCs w:val="22"/>
                                        <w:vertAlign w:val="superscript"/>
                                      </w:rPr>
                                      <w:t>2</w:t>
                                    </w:r>
                                  </w:p>
                                  <w:p w14:paraId="543CBE98"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0938456" w:rsidDel="FFFFFFFF">
                                      <w:rPr>
                                        <w:position w:val="-1"/>
                                        <w:sz w:val="22"/>
                                        <w:szCs w:val="22"/>
                                      </w:rPr>
                                      <w:t>Sorafenib</w:t>
                                    </w:r>
                                    <w:r w:rsidRPr="00938456" w:rsidDel="FFFFFFFF">
                                      <w:rPr>
                                        <w:position w:val="-1"/>
                                        <w:sz w:val="22"/>
                                        <w:szCs w:val="22"/>
                                        <w:vertAlign w:val="superscript"/>
                                      </w:rPr>
                                      <w:t>2</w:t>
                                    </w:r>
                                  </w:p>
                                  <w:p w14:paraId="3968A6D5" w14:textId="77777777" w:rsidR="00546DB0" w:rsidRDefault="00546DB0" w:rsidP="00546DB0">
                                    <w:pPr>
                                      <w:suppressAutoHyphens/>
                                      <w:spacing w:line="1" w:lineRule="atLeast"/>
                                      <w:ind w:leftChars="-1" w:hangingChars="1" w:hanging="2"/>
                                      <w:jc w:val="center"/>
                                      <w:textDirection w:val="btLr"/>
                                      <w:textAlignment w:val="top"/>
                                      <w:outlineLvl w:val="0"/>
                                      <w:rPr>
                                        <w:position w:val="-1"/>
                                      </w:rPr>
                                    </w:pPr>
                                  </w:p>
                                  <w:p w14:paraId="7ED51C81" w14:textId="77777777" w:rsidR="00546DB0" w:rsidRDefault="00546DB0" w:rsidP="00546DB0">
                                    <w:pPr>
                                      <w:suppressAutoHyphens/>
                                      <w:spacing w:line="1" w:lineRule="atLeast"/>
                                      <w:ind w:leftChars="-1" w:hangingChars="1" w:hanging="2"/>
                                      <w:jc w:val="center"/>
                                      <w:textDirection w:val="btLr"/>
                                      <w:textAlignment w:val="top"/>
                                      <w:outlineLvl w:val="0"/>
                                      <w:rPr>
                                        <w:position w:val="-1"/>
                                      </w:rPr>
                                    </w:pPr>
                                  </w:p>
                                </w:txbxContent>
                              </wps:txbx>
                              <wps:bodyPr>
                                <a:noAutofit/>
                              </wps:bodyPr>
                            </wps:wsp>
                            <wps:wsp>
                              <wps:cNvPr id="820468799" name="Connettore diritto 10"/>
                              <wps:cNvCnPr/>
                              <wps:spPr>
                                <a:xfrm>
                                  <a:off x="2006600" y="914400"/>
                                  <a:ext cx="12700" cy="635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s:wsp>
                          <wps:cNvPr id="169107846" name="Connettore diritto 23"/>
                          <wps:cNvCnPr/>
                          <wps:spPr>
                            <a:xfrm flipH="1">
                              <a:off x="1315720" y="1381760"/>
                              <a:ext cx="6350" cy="468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29223169" name="Connettore diritto 23"/>
                          <wps:cNvCnPr/>
                          <wps:spPr>
                            <a:xfrm flipH="1">
                              <a:off x="3840480" y="1386840"/>
                              <a:ext cx="6350" cy="468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wgp>
                  </a:graphicData>
                </a:graphic>
                <wp14:sizeRelV relativeFrom="margin">
                  <wp14:pctHeight>0</wp14:pctHeight>
                </wp14:sizeRelV>
              </wp:anchor>
            </w:drawing>
          </mc:Choice>
          <mc:Fallback>
            <w:pict>
              <v:group w14:anchorId="577EF494" id="Gruppo 27" o:spid="_x0000_s1053" style="position:absolute;left:0;text-align:left;margin-left:0;margin-top:20.8pt;width:409pt;height:245.35pt;z-index:251672576;mso-position-horizontal:left;mso-position-horizontal-relative:margin;mso-height-relative:margin" coordorigin=",2171" coordsize="51943,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QivQQAALcWAAAOAAAAZHJzL2Uyb0RvYy54bWzsWNtu4zYQfS/QfxD03lgkdUecRZvdpA9F&#10;u9htP4CRKFuARAoUEzt/3yFFUnZsd7vp1mkBv8iSrKHIM+cczuj63bbvgicmx1bwZYiuojBgvBJ1&#10;y1fL8I/f737Iw2BUlNe0E5wtw2c2hu9uvv/uejOUDIu16GomAxiEj+VmWIZrpYZysRirNevpeCUG&#10;xuHPRsieKriUq0Ut6QZG77sFjqJ0sRGyHqSo2DjC3ffTn+GNGb9pWKV+a5qRqaBbhjA3ZY7SHB/0&#10;cXFzTcuVpMO6rew06Ctm0dOWw0v9UO+posGjbA+G6ttKilE06qoS/UI0TVsxswZYDYperOZeisfB&#10;rGVVblaDhwmgfYHTq4etfn36KIO2htxFEUlRlKE0DDjtIVf38nEYRIAzjdJmWJXw8L0cPg8fpb2x&#10;mq70wreN7PUvLCnYGnyfPb5sq4IKbiaoiEkEaajgP4JQkhEyZaBaQ5rmOIwyFNvkVOsPx8JxTqI8&#10;Nc8s3NsXepJ+TpsBKDXOqI3/DLXPazowk4xRA2FRSzOMUlgIcqDdCs6ZUkKyoG5lC2cBNrPU04G4&#10;W27RG8sRgDwCHSIEoxyyACAhkhdFYUFyMOIEmO9g3EeAloMc1T0TfaBPlmHXcj1pWtKnX0YFaQOw&#10;3CP6dsf1cRRdW9+1XWcutPbYbSeDJwqqUVukcwRxO0/BlY4EwN0yzJl67tg06ifWAKsg59i83eh5&#10;HpNWFePKjdtxeFqHNTADHxh9OdA+r0OZ0boPRl8O9hHmzYIrH9y3XMhjA8xQNNPzDoFp3RqCB1E/&#10;mwQbaIB+k3IMKb2InOJSFGdJGuWZI49TXPpqxe0qx/FlT3Y7uqHlvyM7q8GD5WZpFEdpHhUvlovi&#10;N1pujJLEQK2RcC6TkjRHmDiTiguUYSuAyePewGVQHhGSxRkC75y8+ZaOrOsoeEyg2AgmY8RkPUY7&#10;dKC2PwnQn79/wm1gRPAZHCVZDJYCQgctWb/FRQbctEiAK4Ev5XtIzFZi3Qb2K15/gk3XqOeE5ezY&#10;CHiKXD14q7m7u9W+duA22myCzTIsEpxAXijUCU1HFZz2A+xcI1+FAe1WUIBUygp3z9B236Gd8/g7&#10;+lZBKdK1/TLM/UO0XDNaf+C1QUbRtpvOjxug2j5szWZa6EV8tR9keZHkBbDSZdn6ATIE/ModGAGJ&#10;i8Smd4fpLrsJjmPkskuiOElyo8NDV9gJnmVyKhyAeTOZZDgpcpxF3k+/tUp2kHAwkiIjSWxFAs6B&#10;4n23uGjkRZHgNQJm9lciOUPxhhFOCUFZhJ3gvhlhMIbaVtdoxlzTrCDGOk+ZK0YFhllMzudKaVen&#10;XczVWOlMHL+nTdWW3rO4+PFRiaY1Je5svLZAs3XYGSiV4yhO86zwNc6RfmAm/t/qB3Sbm1oqFSg+&#10;2KYROB4QTfdUKUnmze0EjS4dwak+5GwdwVxBGn7u1MtnYChKC+jy89i3+UcYCuWvtebTDA2arh1+&#10;1gWm1p9t+xGBXhj6Xdu7Iij59Uiz7WmGTlwFmVy4ahtfz7ypZ/5vda/n4GSGC4wJUNNvxEc+o7yW&#10;lCSPozj3pEzh8kJK33Ttf4v5f3xSOTBQ+DoKVrr3+XX32tjs/L355k8AAAD//wMAUEsDBBQABgAI&#10;AAAAIQBTeNMf3gAAAAcBAAAPAAAAZHJzL2Rvd25yZXYueG1sTI9Ba8JAEIXvBf/DMkJvdRNTJaTZ&#10;iEjbkxSqhdLbmh2TYHY2ZNck/vtOT/U47z3e+ybfTLYVA/a+caQgXkQgkEpnGqoUfB3fnlIQPmgy&#10;unWECm7oYVPMHnKdGTfSJw6HUAkuIZ9pBXUIXSalL2u02i9ch8Te2fVWBz77Sppej1xuW7mMorW0&#10;uiFeqHWHuxrLy+FqFbyPetwm8euwv5x3t5/j6uN7H6NSj/Np+wIi4BT+w/CHz+hQMNPJXcl40Srg&#10;R4KC53gNgt00Tlk4KVglywRkkct7/uIXAAD//wMAUEsBAi0AFAAGAAgAAAAhALaDOJL+AAAA4QEA&#10;ABMAAAAAAAAAAAAAAAAAAAAAAFtDb250ZW50X1R5cGVzXS54bWxQSwECLQAUAAYACAAAACEAOP0h&#10;/9YAAACUAQAACwAAAAAAAAAAAAAAAAAvAQAAX3JlbHMvLnJlbHNQSwECLQAUAAYACAAAACEAlEUE&#10;Ir0EAAC3FgAADgAAAAAAAAAAAAAAAAAuAgAAZHJzL2Uyb0RvYy54bWxQSwECLQAUAAYACAAAACEA&#10;U3jTH94AAAAHAQAADwAAAAAAAAAAAAAAAAAXBwAAZHJzL2Rvd25yZXYueG1sUEsFBgAAAAAEAAQA&#10;8wAAACIIAAAAAA==&#10;">
                <v:line id="Connettore diritto 20" o:spid="_x0000_s1054" style="position:absolute;visibility:visible;mso-wrap-style:square" from="13321,13899" to="38521,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dlywAAAOIAAAAPAAAAZHJzL2Rvd25yZXYueG1sRI9Ba8JA&#10;FITvhf6H5RV6q5sITSS6imhb7KGCVuj1kX0mwezbdHdN4r/vFgo9DjPzDbNYjaYVPTnfWFaQThIQ&#10;xKXVDVcKTp+vTzMQPiBrbC2Tght5WC3v7xZYaDvwgfpjqESEsC9QQR1CV0jpy5oM+ontiKN3ts5g&#10;iNJVUjscIty0cpokmTTYcFyosaNNTeXleDUKfP7xvb9ud00yXM7vX7J/ubm3k1KPD+N6DiLQGP7D&#10;f+2dVpDl0zRLn/MUfi/FOyCXPwAAAP//AwBQSwECLQAUAAYACAAAACEA2+H2y+4AAACFAQAAEwAA&#10;AAAAAAAAAAAAAAAAAAAAW0NvbnRlbnRfVHlwZXNdLnhtbFBLAQItABQABgAIAAAAIQBa9CxbvwAA&#10;ABUBAAALAAAAAAAAAAAAAAAAAB8BAABfcmVscy8ucmVsc1BLAQItABQABgAIAAAAIQCdxYdlywAA&#10;AOIAAAAPAAAAAAAAAAAAAAAAAAcCAABkcnMvZG93bnJldi54bWxQSwUGAAAAAAMAAwC3AAAA/wIA&#10;AAAA&#10;" strokecolor="black [3213]" strokeweight="2pt">
                  <v:shadow on="t" color="black" opacity="24903f" origin=",.5" offset="0,.55556mm"/>
                </v:line>
                <v:group id="Gruppo 26" o:spid="_x0000_s1055" style="position:absolute;top:2171;width:51943;height:28309" coordorigin=",2171" coordsize="51943,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WDyAAAAOMAAAAPAAAAZHJzL2Rvd25yZXYueG1sRE/NasJA&#10;EL4LfYdlCr3pJq1Gia4i0koPUqgK4m3IjkkwOxuy2yS+fVcQPM73P4tVbyrRUuNKywriUQSCOLO6&#10;5FzB8fA1nIFwHlljZZkU3MjBavkyWGCqbce/1O59LkIIuxQVFN7XqZQuK8igG9maOHAX2xj04Wxy&#10;qRvsQrip5HsUJdJgyaGhwJo2BWXX/Z9RsO2wW3/En+3uetnczofJz2kXk1Jvr/16DsJT75/ih/tb&#10;h/lJPJ5Okmg2hftPAQC5/AcAAP//AwBQSwECLQAUAAYACAAAACEA2+H2y+4AAACFAQAAEwAAAAAA&#10;AAAAAAAAAAAAAAAAW0NvbnRlbnRfVHlwZXNdLnhtbFBLAQItABQABgAIAAAAIQBa9CxbvwAAABUB&#10;AAALAAAAAAAAAAAAAAAAAB8BAABfcmVscy8ucmVsc1BLAQItABQABgAIAAAAIQDhCNWDyAAAAOMA&#10;AAAPAAAAAAAAAAAAAAAAAAcCAABkcnMvZG93bnJldi54bWxQSwUGAAAAAAMAAwC3AAAA/AIAAAAA&#10;">
                  <v:group id="Gruppo 14" o:spid="_x0000_s1056" style="position:absolute;top:2171;width:51943;height:28309" coordorigin=",2415" coordsize="63681,3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wOyQAAAOMAAAAPAAAAZHJzL2Rvd25yZXYueG1sRE9fa8Iw&#10;EH8f7DuEG/g2k26zc51RRHT4IIPpYOztaM622FxKE9v67Y0w2OP9/t9sMdhadNT6yrGGZKxAEOfO&#10;VFxo+D5sHqcgfEA2WDsmDRfysJjf380wM67nL+r2oRAxhH2GGsoQmkxKn5dk0Y9dQxy5o2sthni2&#10;hTQt9jHc1vJJqVRarDg2lNjQqqT8tD9bDR899svnZN3tTsfV5fcw+fzZJaT16GFYvoMINIR/8Z97&#10;a+L811S9qHSq3uD2UwRAzq8AAAD//wMAUEsBAi0AFAAGAAgAAAAhANvh9svuAAAAhQEAABMAAAAA&#10;AAAAAAAAAAAAAAAAAFtDb250ZW50X1R5cGVzXS54bWxQSwECLQAUAAYACAAAACEAWvQsW78AAAAV&#10;AQAACwAAAAAAAAAAAAAAAAAfAQAAX3JlbHMvLnJlbHNQSwECLQAUAAYACAAAACEAPfeMDskAAADj&#10;AAAADwAAAAAAAAAAAAAAAAAHAgAAZHJzL2Rvd25yZXYueG1sUEsFBgAAAAADAAMAtwAAAP0CAAAA&#10;AA==&#10;">
                    <v:roundrect id="Casella di testo 1" o:spid="_x0000_s1057" style="position:absolute;top:20574;width:29708;height:13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g9zQAAAOMAAAAPAAAAZHJzL2Rvd25yZXYueG1sRI/dSsNA&#10;EIXvBd9hGcEbsbu10ZS02yKKUBHpj32AITtNQrOzIbum8e2dC8HLmTlzzvmW69G3aqA+NoEtTCcG&#10;FHEZXMOVhePX2/0cVEzIDtvAZOGHIqxX11dLLFy48J6GQ6qUmHAs0EKdUldoHcuaPMZJ6Ijldgq9&#10;xyRjX2nX40XMfasfjHnSHhuWhBo7eqmpPB++vYUP8/i52b5nu7t9edq9nvPBjdnW2tub8XkBKtGY&#10;/sV/3xsn9edmNsuzfCoUwiQL0KtfAAAA//8DAFBLAQItABQABgAIAAAAIQDb4fbL7gAAAIUBAAAT&#10;AAAAAAAAAAAAAAAAAAAAAABbQ29udGVudF9UeXBlc10ueG1sUEsBAi0AFAAGAAgAAAAhAFr0LFu/&#10;AAAAFQEAAAsAAAAAAAAAAAAAAAAAHwEAAF9yZWxzLy5yZWxzUEsBAi0AFAAGAAgAAAAhAMNfyD3N&#10;AAAA4wAAAA8AAAAAAAAAAAAAAAAABwIAAGRycy9kb3ducmV2LnhtbFBLBQYAAAAAAwADALcAAAAB&#10;AwAAAAA=&#10;" fillcolor="#ffc000">
                      <v:stroke joinstyle="miter"/>
                      <v:textbox>
                        <w:txbxContent>
                          <w:p w14:paraId="5E1D8185"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rPr>
                            </w:pPr>
                            <w:r w:rsidRPr="07275375" w:rsidDel="FFFFFFFF">
                              <w:rPr>
                                <w:b/>
                                <w:position w:val="-1"/>
                                <w:sz w:val="22"/>
                                <w:szCs w:val="22"/>
                              </w:rPr>
                              <w:t>AntiVEGF/VEGR-r</w:t>
                            </w:r>
                          </w:p>
                          <w:p w14:paraId="2CFEB6D7"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rPr>
                            </w:pPr>
                            <w:r w:rsidRPr="07275375" w:rsidDel="FFFFFFFF">
                              <w:rPr>
                                <w:position w:val="-1"/>
                                <w:sz w:val="22"/>
                                <w:szCs w:val="22"/>
                              </w:rPr>
                              <w:t xml:space="preserve">Nivolumab </w:t>
                            </w:r>
                          </w:p>
                          <w:p w14:paraId="42B922AF"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rPr>
                            </w:pPr>
                            <w:r w:rsidRPr="07275375" w:rsidDel="FFFFFFFF">
                              <w:rPr>
                                <w:position w:val="-1"/>
                                <w:sz w:val="22"/>
                                <w:szCs w:val="22"/>
                              </w:rPr>
                              <w:t>Cabozantinib</w:t>
                            </w:r>
                          </w:p>
                          <w:p w14:paraId="53745F7A"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7275375" w:rsidDel="FFFFFFFF">
                              <w:rPr>
                                <w:position w:val="-1"/>
                                <w:sz w:val="22"/>
                                <w:szCs w:val="22"/>
                              </w:rPr>
                              <w:t>Axitinib</w:t>
                            </w:r>
                            <w:r w:rsidRPr="07275375" w:rsidDel="FFFFFFFF">
                              <w:rPr>
                                <w:position w:val="-1"/>
                                <w:sz w:val="22"/>
                                <w:szCs w:val="22"/>
                                <w:vertAlign w:val="superscript"/>
                              </w:rPr>
                              <w:t>1</w:t>
                            </w:r>
                          </w:p>
                          <w:p w14:paraId="327FA53C"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7275375" w:rsidDel="FFFFFFFF">
                              <w:rPr>
                                <w:position w:val="-1"/>
                                <w:sz w:val="22"/>
                                <w:szCs w:val="22"/>
                              </w:rPr>
                              <w:t>Everolimus</w:t>
                            </w:r>
                            <w:r w:rsidRPr="07275375" w:rsidDel="FFFFFFFF">
                              <w:rPr>
                                <w:position w:val="-1"/>
                                <w:sz w:val="22"/>
                                <w:szCs w:val="22"/>
                                <w:vertAlign w:val="superscript"/>
                              </w:rPr>
                              <w:t>2</w:t>
                            </w:r>
                          </w:p>
                          <w:p w14:paraId="65F2C76F"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7275375" w:rsidDel="FFFFFFFF">
                              <w:rPr>
                                <w:position w:val="-1"/>
                                <w:sz w:val="22"/>
                                <w:szCs w:val="22"/>
                              </w:rPr>
                              <w:t>Sorafenib</w:t>
                            </w:r>
                            <w:r w:rsidRPr="07275375" w:rsidDel="FFFFFFFF">
                              <w:rPr>
                                <w:position w:val="-1"/>
                                <w:sz w:val="22"/>
                                <w:szCs w:val="22"/>
                                <w:vertAlign w:val="superscript"/>
                              </w:rPr>
                              <w:t>2</w:t>
                            </w:r>
                          </w:p>
                          <w:p w14:paraId="2DD9E8F5"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7275375" w:rsidDel="FFFFFFFF">
                              <w:rPr>
                                <w:position w:val="-1"/>
                                <w:sz w:val="22"/>
                                <w:szCs w:val="22"/>
                              </w:rPr>
                              <w:t>Everolimus+Lenvatinib</w:t>
                            </w:r>
                            <w:r w:rsidRPr="FFFFFFFF" w:rsidDel="FFFFFFFF">
                              <w:rPr>
                                <w:position w:val="-1"/>
                                <w:sz w:val="22"/>
                                <w:szCs w:val="22"/>
                                <w:vertAlign w:val="superscript"/>
                              </w:rPr>
                              <w:t>3</w:t>
                            </w:r>
                          </w:p>
                          <w:p w14:paraId="1BCACD9B" w14:textId="77777777" w:rsidR="00546DB0" w:rsidRDefault="00546DB0" w:rsidP="00425A04">
                            <w:pPr>
                              <w:suppressAutoHyphens/>
                              <w:spacing w:line="1" w:lineRule="atLeast"/>
                              <w:textDirection w:val="btLr"/>
                              <w:textAlignment w:val="top"/>
                              <w:outlineLvl w:val="0"/>
                              <w:rPr>
                                <w:position w:val="-1"/>
                                <w:sz w:val="22"/>
                                <w:szCs w:val="22"/>
                              </w:rPr>
                            </w:pPr>
                          </w:p>
                          <w:p w14:paraId="4E3E7B8A" w14:textId="77777777" w:rsidR="00546DB0" w:rsidRDefault="00546DB0" w:rsidP="00546DB0">
                            <w:pPr>
                              <w:suppressAutoHyphens/>
                              <w:spacing w:line="1" w:lineRule="atLeast"/>
                              <w:ind w:leftChars="-1" w:hangingChars="1" w:hanging="2"/>
                              <w:textDirection w:val="btLr"/>
                              <w:textAlignment w:val="top"/>
                              <w:outlineLvl w:val="0"/>
                              <w:rPr>
                                <w:position w:val="-1"/>
                              </w:rPr>
                            </w:pPr>
                          </w:p>
                        </w:txbxContent>
                      </v:textbox>
                    </v:roundrect>
                    <v:group id="Gruppo 12" o:spid="_x0000_s1058" style="position:absolute;left:11239;top:2415;width:52442;height:30456" coordorigin=",2415" coordsize="52441,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wyQAAAOMAAAAPAAAAZHJzL2Rvd25yZXYueG1sRE/NasJA&#10;EL4LfYdlCr3pJq1pY+oqIq14kEK1UHobsmMSzM6G7DaJb+8Kgsf5/me+HEwtOmpdZVlBPIlAEOdW&#10;V1wo+Dl8jlMQziNrrC2TgjM5WC4eRnPMtO35m7q9L0QIYZehgtL7JpPS5SUZdBPbEAfuaFuDPpxt&#10;IXWLfQg3tXyOoldpsOLQUGJD65Ly0/7fKNj02K9e4o9udzquz3+H5Ot3F5NST4/D6h2Ep8HfxTf3&#10;Vof5b+ksSWfTOIHrTwEAubgAAAD//wMAUEsBAi0AFAAGAAgAAAAhANvh9svuAAAAhQEAABMAAAAA&#10;AAAAAAAAAAAAAAAAAFtDb250ZW50X1R5cGVzXS54bWxQSwECLQAUAAYACAAAACEAWvQsW78AAAAV&#10;AQAACwAAAAAAAAAAAAAAAAAfAQAAX3JlbHMvLnJlbHNQSwECLQAUAAYACAAAACEA/mumMMkAAADj&#10;AAAADwAAAAAAAAAAAAAAAAAHAgAAZHJzL2Rvd25yZXYueG1sUEsFBgAAAAADAAMAtwAAAP0CAAAA&#10;AA==&#10;">
                      <v:roundrect id="Casella di testo 1" o:spid="_x0000_s1059" style="position:absolute;top:2415;width:39735;height:6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WLywAAAOIAAAAPAAAAZHJzL2Rvd25yZXYueG1sRI/dasJA&#10;FITvC32H5RS8KbrboI2mrlIqgkWKvw9wyB6TYPZsyK4xfftuodDLYWa+YebL3taio9ZXjjW8jBQI&#10;4tyZigsN59N6OAXhA7LB2jFp+CYPy8Xjwxwz4+58oO4YChEh7DPUUIbQZFL6vCSLfuQa4uhdXGsx&#10;RNkW0rR4j3Bby0SpV2mx4rhQYkMfJeXX481q2KrJ12b3Od4/H/LLfnVNO9OPd1oPnvr3NxCB+vAf&#10;/mtvjIY0mcymSapS+L0U74Bc/AAAAP//AwBQSwECLQAUAAYACAAAACEA2+H2y+4AAACFAQAAEwAA&#10;AAAAAAAAAAAAAAAAAAAAW0NvbnRlbnRfVHlwZXNdLnhtbFBLAQItABQABgAIAAAAIQBa9CxbvwAA&#10;ABUBAAALAAAAAAAAAAAAAAAAAB8BAABfcmVscy8ucmVsc1BLAQItABQABgAIAAAAIQB5TTWLywAA&#10;AOIAAAAPAAAAAAAAAAAAAAAAAAcCAABkcnMvZG93bnJldi54bWxQSwUGAAAAAAMAAwC3AAAA/wIA&#10;AAAA&#10;" fillcolor="#ffc000">
                        <v:stroke joinstyle="miter"/>
                        <v:textbox>
                          <w:txbxContent>
                            <w:p w14:paraId="4E163ADE" w14:textId="6EA227D8" w:rsidR="00546DB0" w:rsidRPr="006802B4" w:rsidRDefault="00546DB0" w:rsidP="00546DB0">
                              <w:pPr>
                                <w:suppressAutoHyphens/>
                                <w:spacing w:line="1" w:lineRule="atLeast"/>
                                <w:ind w:leftChars="-1" w:left="1" w:hangingChars="1" w:hanging="3"/>
                                <w:jc w:val="center"/>
                                <w:textDirection w:val="btLr"/>
                                <w:textAlignment w:val="top"/>
                                <w:outlineLvl w:val="0"/>
                                <w:rPr>
                                  <w:position w:val="-1"/>
                                  <w:sz w:val="28"/>
                                  <w:szCs w:val="28"/>
                                </w:rPr>
                              </w:pPr>
                              <w:r w:rsidRPr="07025767" w:rsidDel="FFFFFFFF">
                                <w:rPr>
                                  <w:b/>
                                  <w:position w:val="-1"/>
                                  <w:sz w:val="28"/>
                                  <w:szCs w:val="28"/>
                                </w:rPr>
                                <w:t>Pazienti con malattia met</w:t>
                              </w:r>
                              <w:r w:rsidRPr="FFFFFFFF" w:rsidDel="FFFFFFFF">
                                <w:rPr>
                                  <w:b/>
                                  <w:position w:val="-1"/>
                                  <w:sz w:val="28"/>
                                  <w:szCs w:val="28"/>
                                </w:rPr>
                                <w:t xml:space="preserve">astatica </w:t>
                              </w:r>
                              <w:r w:rsidR="001C133F">
                                <w:rPr>
                                  <w:b/>
                                  <w:position w:val="-1"/>
                                  <w:sz w:val="28"/>
                                  <w:szCs w:val="28"/>
                                </w:rPr>
                                <w:t>pretrattati (linee successive)</w:t>
                              </w:r>
                            </w:p>
                          </w:txbxContent>
                        </v:textbox>
                      </v:roundrect>
                      <v:roundrect id="Casella di testo 1" o:spid="_x0000_s1060" style="position:absolute;left:22733;top:20679;width:29708;height:12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4zAAAAOMAAAAPAAAAZHJzL2Rvd25yZXYueG1sRI/dasJA&#10;FITvC32H5RS8KXU30apEVykVwVKKvw9wyB6TYPZsyK4xfftuodDLYWa+YRar3taio9ZXjjUkQwWC&#10;OHem4kLD+bR5mYHwAdlg7Zg0fJOH1fLxYYGZcXc+UHcMhYgQ9hlqKENoMil9XpJFP3QNcfQurrUY&#10;omwLaVq8R7itZarURFqsOC6U2NB7Sfn1eLMaPtXr13b3Md4/H/LLfn2ddqYf77QePPVvcxCB+vAf&#10;/mtvjYY0SSejUTJVKfx+in9ALn8AAAD//wMAUEsBAi0AFAAGAAgAAAAhANvh9svuAAAAhQEAABMA&#10;AAAAAAAAAAAAAAAAAAAAAFtDb250ZW50X1R5cGVzXS54bWxQSwECLQAUAAYACAAAACEAWvQsW78A&#10;AAAVAQAACwAAAAAAAAAAAAAAAAAfAQAAX3JlbHMvLnJlbHNQSwECLQAUAAYACAAAACEA1OI/+MwA&#10;AADjAAAADwAAAAAAAAAAAAAAAAAHAgAAZHJzL2Rvd25yZXYueG1sUEsFBgAAAAADAAMAtwAAAAAD&#10;AAAAAA==&#10;" fillcolor="#ffc000">
                        <v:stroke joinstyle="miter"/>
                        <v:textbox>
                          <w:txbxContent>
                            <w:p w14:paraId="52F00DB1" w14:textId="77777777" w:rsidR="00546DB0" w:rsidRDefault="00546DB0" w:rsidP="00546DB0">
                              <w:pPr>
                                <w:suppressAutoHyphens/>
                                <w:spacing w:line="1" w:lineRule="atLeast"/>
                                <w:ind w:leftChars="-1" w:hangingChars="1" w:hanging="2"/>
                                <w:jc w:val="center"/>
                                <w:textDirection w:val="btLr"/>
                                <w:textAlignment w:val="top"/>
                                <w:outlineLvl w:val="0"/>
                                <w:rPr>
                                  <w:position w:val="-1"/>
                                </w:rPr>
                              </w:pPr>
                              <w:r w:rsidRPr="07025767" w:rsidDel="FFFFFFFF">
                                <w:rPr>
                                  <w:b/>
                                  <w:position w:val="-1"/>
                                </w:rPr>
                                <w:t>AntiPD-1/PDL-1</w:t>
                              </w:r>
                            </w:p>
                            <w:p w14:paraId="5E4A2101"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rPr>
                              </w:pPr>
                              <w:r w:rsidRPr="00938456" w:rsidDel="FFFFFFFF">
                                <w:rPr>
                                  <w:position w:val="-1"/>
                                  <w:sz w:val="22"/>
                                  <w:szCs w:val="22"/>
                                </w:rPr>
                                <w:t>Caboz</w:t>
                              </w:r>
                              <w:r w:rsidRPr="FFFFFFFF" w:rsidDel="FFFFFFFF">
                                <w:rPr>
                                  <w:position w:val="-1"/>
                                  <w:sz w:val="22"/>
                                  <w:szCs w:val="22"/>
                                </w:rPr>
                                <w:t>a</w:t>
                              </w:r>
                              <w:r w:rsidRPr="00938456" w:rsidDel="FFFFFFFF">
                                <w:rPr>
                                  <w:position w:val="-1"/>
                                  <w:sz w:val="22"/>
                                  <w:szCs w:val="22"/>
                                </w:rPr>
                                <w:t>ntinib</w:t>
                              </w:r>
                            </w:p>
                            <w:p w14:paraId="5CE11E2B"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0938456" w:rsidDel="FFFFFFFF">
                                <w:rPr>
                                  <w:position w:val="-1"/>
                                  <w:sz w:val="22"/>
                                  <w:szCs w:val="22"/>
                                </w:rPr>
                                <w:t>Axitinib</w:t>
                              </w:r>
                              <w:r w:rsidRPr="00938456" w:rsidDel="FFFFFFFF">
                                <w:rPr>
                                  <w:position w:val="-1"/>
                                  <w:sz w:val="22"/>
                                  <w:szCs w:val="22"/>
                                  <w:vertAlign w:val="superscript"/>
                                </w:rPr>
                                <w:t>1</w:t>
                              </w:r>
                            </w:p>
                            <w:p w14:paraId="434F4CA9"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0938456" w:rsidDel="FFFFFFFF">
                                <w:rPr>
                                  <w:position w:val="-1"/>
                                  <w:sz w:val="22"/>
                                  <w:szCs w:val="22"/>
                                </w:rPr>
                                <w:t>Everolimus</w:t>
                              </w:r>
                              <w:r w:rsidRPr="00938456" w:rsidDel="FFFFFFFF">
                                <w:rPr>
                                  <w:position w:val="-1"/>
                                  <w:sz w:val="22"/>
                                  <w:szCs w:val="22"/>
                                  <w:vertAlign w:val="superscript"/>
                                </w:rPr>
                                <w:t>2</w:t>
                              </w:r>
                            </w:p>
                            <w:p w14:paraId="543CBE98" w14:textId="77777777" w:rsidR="00546DB0" w:rsidRDefault="00546DB0" w:rsidP="00546DB0">
                              <w:pPr>
                                <w:suppressAutoHyphens/>
                                <w:spacing w:line="1" w:lineRule="atLeast"/>
                                <w:ind w:leftChars="-1" w:hangingChars="1" w:hanging="2"/>
                                <w:jc w:val="center"/>
                                <w:textDirection w:val="btLr"/>
                                <w:textAlignment w:val="top"/>
                                <w:outlineLvl w:val="0"/>
                                <w:rPr>
                                  <w:position w:val="-1"/>
                                  <w:sz w:val="22"/>
                                  <w:szCs w:val="22"/>
                                  <w:vertAlign w:val="superscript"/>
                                </w:rPr>
                              </w:pPr>
                              <w:r w:rsidRPr="00938456" w:rsidDel="FFFFFFFF">
                                <w:rPr>
                                  <w:position w:val="-1"/>
                                  <w:sz w:val="22"/>
                                  <w:szCs w:val="22"/>
                                </w:rPr>
                                <w:t>Sorafenib</w:t>
                              </w:r>
                              <w:r w:rsidRPr="00938456" w:rsidDel="FFFFFFFF">
                                <w:rPr>
                                  <w:position w:val="-1"/>
                                  <w:sz w:val="22"/>
                                  <w:szCs w:val="22"/>
                                  <w:vertAlign w:val="superscript"/>
                                </w:rPr>
                                <w:t>2</w:t>
                              </w:r>
                            </w:p>
                            <w:p w14:paraId="3968A6D5" w14:textId="77777777" w:rsidR="00546DB0" w:rsidRDefault="00546DB0" w:rsidP="00546DB0">
                              <w:pPr>
                                <w:suppressAutoHyphens/>
                                <w:spacing w:line="1" w:lineRule="atLeast"/>
                                <w:ind w:leftChars="-1" w:hangingChars="1" w:hanging="2"/>
                                <w:jc w:val="center"/>
                                <w:textDirection w:val="btLr"/>
                                <w:textAlignment w:val="top"/>
                                <w:outlineLvl w:val="0"/>
                                <w:rPr>
                                  <w:position w:val="-1"/>
                                </w:rPr>
                              </w:pPr>
                            </w:p>
                            <w:p w14:paraId="7ED51C81" w14:textId="77777777" w:rsidR="00546DB0" w:rsidRDefault="00546DB0" w:rsidP="00546DB0">
                              <w:pPr>
                                <w:suppressAutoHyphens/>
                                <w:spacing w:line="1" w:lineRule="atLeast"/>
                                <w:ind w:leftChars="-1" w:hangingChars="1" w:hanging="2"/>
                                <w:jc w:val="center"/>
                                <w:textDirection w:val="btLr"/>
                                <w:textAlignment w:val="top"/>
                                <w:outlineLvl w:val="0"/>
                                <w:rPr>
                                  <w:position w:val="-1"/>
                                </w:rPr>
                              </w:pPr>
                            </w:p>
                          </w:txbxContent>
                        </v:textbox>
                      </v:roundrect>
                      <v:line id="Connettore diritto 10" o:spid="_x0000_s1061" style="position:absolute;visibility:visible;mso-wrap-style:square" from="20066,9144" to="2019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nYywAAAOIAAAAPAAAAZHJzL2Rvd25yZXYueG1sRI9PawIx&#10;FMTvBb9DeIXealIpum6NIv2HPSjUCr0+Ns/dxc3LNom767dvCgWPw8z8hlmsBtuIjnyoHWt4GCsQ&#10;xIUzNZcaDl9v9xmIEJENNo5Jw4UCrJajmwXmxvX8Sd0+liJBOOSooYqxzaUMRUUWw9i1xMk7Om8x&#10;JulLaTz2CW4bOVFqKi3WnBYqbOm5ouK0P1sNYbb92Z1fNrXqT8ePb9m9Xvz7Qeu722H9BCLSEK/h&#10;//bGaMgm6nGazeZz+LuU7oBc/gIAAP//AwBQSwECLQAUAAYACAAAACEA2+H2y+4AAACFAQAAEwAA&#10;AAAAAAAAAAAAAAAAAAAAW0NvbnRlbnRfVHlwZXNdLnhtbFBLAQItABQABgAIAAAAIQBa9CxbvwAA&#10;ABUBAAALAAAAAAAAAAAAAAAAAB8BAABfcmVscy8ucmVsc1BLAQItABQABgAIAAAAIQDDLXnYywAA&#10;AOIAAAAPAAAAAAAAAAAAAAAAAAcCAABkcnMvZG93bnJldi54bWxQSwUGAAAAAAMAAwC3AAAA/wIA&#10;AAAA&#10;" strokecolor="black [3213]" strokeweight="2pt">
                        <v:shadow on="t" color="black" opacity="24903f" origin=",.5" offset="0,.55556mm"/>
                      </v:line>
                    </v:group>
                  </v:group>
                  <v:line id="Connettore diritto 23" o:spid="_x0000_s1062" style="position:absolute;flip:x;visibility:visible;mso-wrap-style:square" from="13157,13817" to="13220,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9mxwAAAOIAAAAPAAAAZHJzL2Rvd25yZXYueG1sRE9dS8Mw&#10;FH0X/A/hCntz6dyoW102ZFOUCQ47wddLc23KmpuSZF3992Yg+Hg438v1YFvRkw+NYwWTcQaCuHK6&#10;4VrB5+H5dg4iRGSNrWNS8EMB1qvrqyUW2p35g/oy1iKFcChQgYmxK6QMlSGLYew64sR9O28xJuhr&#10;qT2eU7ht5V2W5dJiw6nBYEcbQ9WxPFkFU7Pb9Y19KWfbfXx6P6H/Ou7flBrdDI8PICIN8V/8537V&#10;aX6+mGT381kOl0sJg1z9AgAA//8DAFBLAQItABQABgAIAAAAIQDb4fbL7gAAAIUBAAATAAAAAAAA&#10;AAAAAAAAAAAAAABbQ29udGVudF9UeXBlc10ueG1sUEsBAi0AFAAGAAgAAAAhAFr0LFu/AAAAFQEA&#10;AAsAAAAAAAAAAAAAAAAAHwEAAF9yZWxzLy5yZWxzUEsBAi0AFAAGAAgAAAAhAL08f2bHAAAA4gAA&#10;AA8AAAAAAAAAAAAAAAAABwIAAGRycy9kb3ducmV2LnhtbFBLBQYAAAAAAwADALcAAAD7AgAAAAA=&#10;" strokecolor="black [3213]" strokeweight="2pt">
                    <v:shadow on="t" color="black" opacity="24903f" origin=",.5" offset="0,.55556mm"/>
                  </v:line>
                  <v:line id="Connettore diritto 23" o:spid="_x0000_s1063" style="position:absolute;flip:x;visibility:visible;mso-wrap-style:square" from="38404,13868" to="38468,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eGyQAAAOMAAAAPAAAAZHJzL2Rvd25yZXYueG1sRE/da8Iw&#10;EH8f7H8IN9jbTK1DZzXK2AcbDpRVwdejuTXF5lKSWLv/fhkM9ni/71uuB9uKnnxoHCsYjzIQxJXT&#10;DdcKDvvXuwcQISJrbB2Tgm8KsF5dXy2x0O7Cn9SXsRYphEOBCkyMXSFlqAxZDCPXESfuy3mLMZ2+&#10;ltrjJYXbVuZZNpUWG04NBjt6MlSdyrNVMDGbTd/Yt/L+eRdftmf0x9PuQ6nbm+FxASLSEP/Ff+53&#10;nebP8nmeT8bTOfz+lACQqx8AAAD//wMAUEsBAi0AFAAGAAgAAAAhANvh9svuAAAAhQEAABMAAAAA&#10;AAAAAAAAAAAAAAAAAFtDb250ZW50X1R5cGVzXS54bWxQSwECLQAUAAYACAAAACEAWvQsW78AAAAV&#10;AQAACwAAAAAAAAAAAAAAAAAfAQAAX3JlbHMvLnJlbHNQSwECLQAUAAYACAAAACEAC5nXhskAAADj&#10;AAAADwAAAAAAAAAAAAAAAAAHAgAAZHJzL2Rvd25yZXYueG1sUEsFBgAAAAADAAMAtwAAAP0CAAAA&#10;AA==&#10;" strokecolor="black [3213]" strokeweight="2pt">
                    <v:shadow on="t" color="black" opacity="24903f" origin=",.5" offset="0,.55556mm"/>
                  </v:line>
                </v:group>
                <w10:wrap anchorx="margin"/>
              </v:group>
            </w:pict>
          </mc:Fallback>
        </mc:AlternateContent>
      </w:r>
    </w:p>
    <w:p w14:paraId="7C28334A" w14:textId="0BD5D309" w:rsidR="00AC123D" w:rsidRDefault="00AC123D">
      <w:pPr>
        <w:pBdr>
          <w:top w:val="nil"/>
          <w:left w:val="nil"/>
          <w:bottom w:val="nil"/>
          <w:right w:val="nil"/>
          <w:between w:val="nil"/>
        </w:pBdr>
        <w:spacing w:line="360" w:lineRule="auto"/>
        <w:jc w:val="center"/>
        <w:rPr>
          <w:color w:val="000000"/>
          <w:sz w:val="24"/>
          <w:szCs w:val="24"/>
        </w:rPr>
      </w:pPr>
    </w:p>
    <w:p w14:paraId="3C352688" w14:textId="77777777" w:rsidR="00AC123D" w:rsidRDefault="00AC123D">
      <w:pPr>
        <w:pBdr>
          <w:top w:val="nil"/>
          <w:left w:val="nil"/>
          <w:bottom w:val="nil"/>
          <w:right w:val="nil"/>
          <w:between w:val="nil"/>
        </w:pBdr>
        <w:spacing w:line="360" w:lineRule="auto"/>
        <w:jc w:val="center"/>
        <w:rPr>
          <w:color w:val="000000"/>
          <w:sz w:val="24"/>
          <w:szCs w:val="24"/>
        </w:rPr>
      </w:pPr>
    </w:p>
    <w:p w14:paraId="4F5A68A1" w14:textId="77777777" w:rsidR="00AC123D" w:rsidRDefault="00AC123D">
      <w:pPr>
        <w:pBdr>
          <w:top w:val="nil"/>
          <w:left w:val="nil"/>
          <w:bottom w:val="nil"/>
          <w:right w:val="nil"/>
          <w:between w:val="nil"/>
        </w:pBdr>
        <w:spacing w:line="360" w:lineRule="auto"/>
        <w:jc w:val="center"/>
        <w:rPr>
          <w:color w:val="000000"/>
          <w:sz w:val="24"/>
          <w:szCs w:val="24"/>
        </w:rPr>
      </w:pPr>
    </w:p>
    <w:p w14:paraId="0FC02C7C" w14:textId="77777777" w:rsidR="00AC123D" w:rsidRDefault="00AC123D">
      <w:pPr>
        <w:pBdr>
          <w:top w:val="nil"/>
          <w:left w:val="nil"/>
          <w:bottom w:val="nil"/>
          <w:right w:val="nil"/>
          <w:between w:val="nil"/>
        </w:pBdr>
        <w:spacing w:line="360" w:lineRule="auto"/>
        <w:jc w:val="center"/>
        <w:rPr>
          <w:color w:val="000000"/>
          <w:sz w:val="24"/>
          <w:szCs w:val="24"/>
        </w:rPr>
      </w:pPr>
    </w:p>
    <w:p w14:paraId="754D6000" w14:textId="77777777" w:rsidR="00AC123D" w:rsidRDefault="00AC123D">
      <w:pPr>
        <w:pBdr>
          <w:top w:val="nil"/>
          <w:left w:val="nil"/>
          <w:bottom w:val="nil"/>
          <w:right w:val="nil"/>
          <w:between w:val="nil"/>
        </w:pBdr>
        <w:spacing w:line="360" w:lineRule="auto"/>
        <w:jc w:val="center"/>
        <w:rPr>
          <w:color w:val="000000"/>
          <w:sz w:val="24"/>
          <w:szCs w:val="24"/>
        </w:rPr>
      </w:pPr>
    </w:p>
    <w:p w14:paraId="1A552675" w14:textId="77777777" w:rsidR="00AC123D" w:rsidRDefault="00AC123D">
      <w:pPr>
        <w:pBdr>
          <w:top w:val="nil"/>
          <w:left w:val="nil"/>
          <w:bottom w:val="nil"/>
          <w:right w:val="nil"/>
          <w:between w:val="nil"/>
        </w:pBdr>
        <w:spacing w:line="360" w:lineRule="auto"/>
        <w:jc w:val="center"/>
        <w:rPr>
          <w:color w:val="000000"/>
          <w:sz w:val="24"/>
          <w:szCs w:val="24"/>
        </w:rPr>
      </w:pPr>
    </w:p>
    <w:p w14:paraId="237FA69E" w14:textId="77777777" w:rsidR="00AC123D" w:rsidRDefault="00AC123D">
      <w:pPr>
        <w:pBdr>
          <w:top w:val="nil"/>
          <w:left w:val="nil"/>
          <w:bottom w:val="nil"/>
          <w:right w:val="nil"/>
          <w:between w:val="nil"/>
        </w:pBdr>
        <w:spacing w:line="360" w:lineRule="auto"/>
        <w:jc w:val="center"/>
        <w:rPr>
          <w:color w:val="000000"/>
          <w:sz w:val="24"/>
          <w:szCs w:val="24"/>
        </w:rPr>
      </w:pPr>
    </w:p>
    <w:p w14:paraId="0D6101FC" w14:textId="77777777" w:rsidR="00AC123D" w:rsidRDefault="00AC123D">
      <w:pPr>
        <w:pBdr>
          <w:top w:val="nil"/>
          <w:left w:val="nil"/>
          <w:bottom w:val="nil"/>
          <w:right w:val="nil"/>
          <w:between w:val="nil"/>
        </w:pBdr>
        <w:spacing w:line="360" w:lineRule="auto"/>
        <w:jc w:val="center"/>
        <w:rPr>
          <w:color w:val="000000"/>
          <w:sz w:val="24"/>
          <w:szCs w:val="24"/>
        </w:rPr>
      </w:pPr>
    </w:p>
    <w:p w14:paraId="02DF47D9" w14:textId="77777777" w:rsidR="00AC123D" w:rsidRDefault="00AC123D">
      <w:pPr>
        <w:pBdr>
          <w:top w:val="nil"/>
          <w:left w:val="nil"/>
          <w:bottom w:val="nil"/>
          <w:right w:val="nil"/>
          <w:between w:val="nil"/>
        </w:pBdr>
        <w:spacing w:line="360" w:lineRule="auto"/>
        <w:jc w:val="center"/>
        <w:rPr>
          <w:color w:val="000000"/>
          <w:sz w:val="24"/>
          <w:szCs w:val="24"/>
        </w:rPr>
      </w:pPr>
    </w:p>
    <w:p w14:paraId="150062DF" w14:textId="77777777" w:rsidR="00AC123D" w:rsidRDefault="00AC123D">
      <w:pPr>
        <w:pBdr>
          <w:top w:val="nil"/>
          <w:left w:val="nil"/>
          <w:bottom w:val="nil"/>
          <w:right w:val="nil"/>
          <w:between w:val="nil"/>
        </w:pBdr>
        <w:spacing w:line="360" w:lineRule="auto"/>
        <w:jc w:val="center"/>
        <w:rPr>
          <w:color w:val="000000"/>
          <w:sz w:val="24"/>
          <w:szCs w:val="24"/>
        </w:rPr>
      </w:pPr>
    </w:p>
    <w:p w14:paraId="4203A24D" w14:textId="77777777" w:rsidR="00AC123D" w:rsidRDefault="00AC123D">
      <w:pPr>
        <w:pBdr>
          <w:top w:val="nil"/>
          <w:left w:val="nil"/>
          <w:bottom w:val="nil"/>
          <w:right w:val="nil"/>
          <w:between w:val="nil"/>
        </w:pBdr>
        <w:spacing w:line="360" w:lineRule="auto"/>
        <w:jc w:val="center"/>
        <w:rPr>
          <w:color w:val="000000"/>
          <w:sz w:val="24"/>
          <w:szCs w:val="24"/>
        </w:rPr>
      </w:pPr>
    </w:p>
    <w:p w14:paraId="4483FAF0" w14:textId="209956E9" w:rsidR="00231B0C" w:rsidRDefault="00231B0C">
      <w:pPr>
        <w:pBdr>
          <w:top w:val="nil"/>
          <w:left w:val="nil"/>
          <w:bottom w:val="nil"/>
          <w:right w:val="nil"/>
          <w:between w:val="nil"/>
        </w:pBdr>
        <w:spacing w:line="360" w:lineRule="auto"/>
        <w:jc w:val="center"/>
        <w:rPr>
          <w:color w:val="000000"/>
          <w:sz w:val="24"/>
          <w:szCs w:val="24"/>
        </w:rPr>
      </w:pPr>
    </w:p>
    <w:p w14:paraId="163EB40A" w14:textId="7CD16152" w:rsidR="00231B0C" w:rsidRDefault="00231B0C">
      <w:pPr>
        <w:pBdr>
          <w:top w:val="nil"/>
          <w:left w:val="nil"/>
          <w:bottom w:val="nil"/>
          <w:right w:val="nil"/>
          <w:between w:val="nil"/>
        </w:pBdr>
        <w:spacing w:line="360" w:lineRule="auto"/>
        <w:jc w:val="both"/>
        <w:rPr>
          <w:color w:val="000000"/>
          <w:sz w:val="24"/>
          <w:szCs w:val="24"/>
        </w:rPr>
      </w:pPr>
    </w:p>
    <w:p w14:paraId="7E8D97DB" w14:textId="77777777" w:rsidR="00231B0C" w:rsidRDefault="008D7880">
      <w:pPr>
        <w:widowControl w:val="0"/>
        <w:numPr>
          <w:ilvl w:val="0"/>
          <w:numId w:val="11"/>
        </w:numPr>
        <w:pBdr>
          <w:top w:val="nil"/>
          <w:left w:val="nil"/>
          <w:bottom w:val="nil"/>
          <w:right w:val="nil"/>
          <w:between w:val="nil"/>
        </w:pBdr>
        <w:spacing w:line="360" w:lineRule="auto"/>
        <w:ind w:right="185"/>
        <w:jc w:val="both"/>
        <w:rPr>
          <w:color w:val="000000"/>
          <w:sz w:val="24"/>
          <w:szCs w:val="24"/>
        </w:rPr>
      </w:pPr>
      <w:r>
        <w:rPr>
          <w:color w:val="000000"/>
          <w:sz w:val="24"/>
          <w:szCs w:val="24"/>
        </w:rPr>
        <w:t>Solo dopo Sunitinib</w:t>
      </w:r>
    </w:p>
    <w:p w14:paraId="19079D8E" w14:textId="77777777" w:rsidR="00231B0C" w:rsidRDefault="008D7880">
      <w:pPr>
        <w:widowControl w:val="0"/>
        <w:numPr>
          <w:ilvl w:val="0"/>
          <w:numId w:val="11"/>
        </w:numPr>
        <w:pBdr>
          <w:top w:val="nil"/>
          <w:left w:val="nil"/>
          <w:bottom w:val="nil"/>
          <w:right w:val="nil"/>
          <w:between w:val="nil"/>
        </w:pBdr>
        <w:spacing w:line="360" w:lineRule="auto"/>
        <w:ind w:right="185"/>
        <w:jc w:val="both"/>
        <w:rPr>
          <w:color w:val="000000"/>
          <w:sz w:val="24"/>
          <w:szCs w:val="24"/>
        </w:rPr>
      </w:pPr>
      <w:r>
        <w:rPr>
          <w:color w:val="000000"/>
          <w:sz w:val="24"/>
          <w:szCs w:val="24"/>
        </w:rPr>
        <w:t>Linee successive alla seconda</w:t>
      </w:r>
    </w:p>
    <w:p w14:paraId="543400C4" w14:textId="77777777" w:rsidR="00231B0C" w:rsidRDefault="008D7880">
      <w:pPr>
        <w:widowControl w:val="0"/>
        <w:numPr>
          <w:ilvl w:val="0"/>
          <w:numId w:val="11"/>
        </w:numPr>
        <w:pBdr>
          <w:top w:val="nil"/>
          <w:left w:val="nil"/>
          <w:bottom w:val="nil"/>
          <w:right w:val="nil"/>
          <w:between w:val="nil"/>
        </w:pBdr>
        <w:spacing w:line="360" w:lineRule="auto"/>
        <w:ind w:right="185"/>
        <w:jc w:val="both"/>
        <w:rPr>
          <w:color w:val="000000"/>
          <w:sz w:val="24"/>
          <w:szCs w:val="24"/>
        </w:rPr>
      </w:pPr>
      <w:r>
        <w:rPr>
          <w:color w:val="000000"/>
          <w:sz w:val="24"/>
          <w:szCs w:val="24"/>
        </w:rPr>
        <w:t>Non rimborsato da AIFA</w:t>
      </w:r>
    </w:p>
    <w:p w14:paraId="6A0E312C"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2D496C3" w14:textId="77777777" w:rsidR="004428CC" w:rsidRDefault="004428CC">
      <w:pPr>
        <w:pBdr>
          <w:top w:val="nil"/>
          <w:left w:val="nil"/>
          <w:bottom w:val="nil"/>
          <w:right w:val="nil"/>
          <w:between w:val="nil"/>
        </w:pBdr>
        <w:tabs>
          <w:tab w:val="left" w:pos="1055"/>
        </w:tabs>
        <w:spacing w:line="360" w:lineRule="auto"/>
        <w:jc w:val="both"/>
        <w:rPr>
          <w:b/>
          <w:color w:val="000000"/>
          <w:sz w:val="24"/>
          <w:szCs w:val="24"/>
        </w:rPr>
      </w:pPr>
    </w:p>
    <w:p w14:paraId="3D815A3F" w14:textId="4E3999F8" w:rsidR="00231B0C" w:rsidRDefault="008D7880">
      <w:pPr>
        <w:pBdr>
          <w:top w:val="nil"/>
          <w:left w:val="nil"/>
          <w:bottom w:val="nil"/>
          <w:right w:val="nil"/>
          <w:between w:val="nil"/>
        </w:pBdr>
        <w:tabs>
          <w:tab w:val="left" w:pos="1055"/>
        </w:tabs>
        <w:spacing w:line="360" w:lineRule="auto"/>
        <w:jc w:val="both"/>
        <w:rPr>
          <w:color w:val="000000"/>
          <w:sz w:val="24"/>
          <w:szCs w:val="24"/>
        </w:rPr>
      </w:pPr>
      <w:r>
        <w:rPr>
          <w:b/>
          <w:color w:val="000000"/>
          <w:sz w:val="24"/>
          <w:szCs w:val="24"/>
        </w:rPr>
        <w:t>FOLLOW UP</w:t>
      </w:r>
    </w:p>
    <w:p w14:paraId="267006FE"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Gli scopi del programma di follow-up dopo trattamento chirurgico con intento curativo sono:</w:t>
      </w:r>
    </w:p>
    <w:p w14:paraId="32C90B87" w14:textId="77777777" w:rsidR="00231B0C" w:rsidRDefault="008D7880">
      <w:pPr>
        <w:numPr>
          <w:ilvl w:val="0"/>
          <w:numId w:val="3"/>
        </w:numPr>
        <w:pBdr>
          <w:top w:val="nil"/>
          <w:left w:val="nil"/>
          <w:bottom w:val="nil"/>
          <w:right w:val="nil"/>
          <w:between w:val="nil"/>
        </w:pBdr>
        <w:tabs>
          <w:tab w:val="left" w:pos="284"/>
        </w:tabs>
        <w:spacing w:line="360" w:lineRule="auto"/>
        <w:jc w:val="both"/>
        <w:rPr>
          <w:color w:val="000000"/>
          <w:sz w:val="24"/>
          <w:szCs w:val="24"/>
        </w:rPr>
      </w:pPr>
      <w:r>
        <w:rPr>
          <w:color w:val="000000"/>
          <w:sz w:val="24"/>
          <w:szCs w:val="24"/>
        </w:rPr>
        <w:t xml:space="preserve">Monitorare la funzionalità renale ed eventuali complicanze post chirurgiche </w:t>
      </w:r>
    </w:p>
    <w:p w14:paraId="65CBF7EF" w14:textId="77777777" w:rsidR="00231B0C" w:rsidRDefault="008D7880">
      <w:pPr>
        <w:numPr>
          <w:ilvl w:val="0"/>
          <w:numId w:val="3"/>
        </w:numPr>
        <w:pBdr>
          <w:top w:val="nil"/>
          <w:left w:val="nil"/>
          <w:bottom w:val="nil"/>
          <w:right w:val="nil"/>
          <w:between w:val="nil"/>
        </w:pBdr>
        <w:tabs>
          <w:tab w:val="left" w:pos="284"/>
        </w:tabs>
        <w:spacing w:line="360" w:lineRule="auto"/>
        <w:jc w:val="both"/>
        <w:rPr>
          <w:color w:val="000000"/>
          <w:sz w:val="24"/>
          <w:szCs w:val="24"/>
        </w:rPr>
      </w:pPr>
      <w:r>
        <w:rPr>
          <w:color w:val="000000"/>
          <w:sz w:val="24"/>
          <w:szCs w:val="24"/>
        </w:rPr>
        <w:t xml:space="preserve">Evidenziare l’eventuale progressione di malattia </w:t>
      </w:r>
    </w:p>
    <w:p w14:paraId="5CF36703" w14:textId="0326E633"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Non vi è un consenso riguardo il tipo di indagini, la periodicità e la durata del follow-up. Oltre alla visita clinica ed al controllo di emocromo e funzione renale, la metodica radiologica di riferimento nel follow-up è la TC torace-addome con mdc, ma nella valutazione rischio-beneficio vanno considerati i rischi legati all’esposizione alle radiazioni ionizzanti e i danni renali da uso del mdc, soprattutto nei pazienti a basso rischio di recidiva e nei pazienti con alterata funzionalità renale. </w:t>
      </w:r>
      <w:r w:rsidR="004428CC">
        <w:rPr>
          <w:color w:val="000000"/>
          <w:sz w:val="24"/>
          <w:szCs w:val="24"/>
        </w:rPr>
        <w:t xml:space="preserve">Tuttavia, nell’ottica di un approccio personalizzato e di una deintensificazione del follow up se i pazienti ad alto rischio hanno una prima Tac negativa a tre mesi potrebbero o eseguire una ecografia dell’addome dopo 3 mesi e la tac direttamente a 6 mesi </w:t>
      </w:r>
      <w:r>
        <w:rPr>
          <w:color w:val="000000"/>
          <w:sz w:val="24"/>
          <w:szCs w:val="24"/>
        </w:rPr>
        <w:t xml:space="preserve">La radiografia del torace e l’ecografia addominale sono esami alternativi anche se con minore sensibilità. La scintigrafia ossea, la TC encefalo, la Risonanza Magnetica e la PET/TC non sono raccomandate per uso routinario nel follow-up ma solo come accertamenti di secondo livello. </w:t>
      </w:r>
    </w:p>
    <w:p w14:paraId="00C3BA1B" w14:textId="0659E88E"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La maggior parte delle recidive compaiono nei primi 24 mesi dall’intervento, durante i quali vi è concordanza sull’eseguire controlli radiologici semestrali almeno nei pazienti a rischio intermedio/alto. Le recidive tardive (oltre 5 anni dopo la chirurgia) sono poco frequenti ma spesso si presentano come malattia localizzata suscettibile di trattamento chirurgico. Per questo motivo, sono stati proposti controlli clinici e radiologici anche senza limite di durata; non vi sono tuttavia evidenze di un beneficio di sopravvivenza con programmi di follow-up intensivi e/o prolungati. </w:t>
      </w:r>
    </w:p>
    <w:p w14:paraId="6FC75361" w14:textId="2B3CBE89" w:rsidR="00231B0C" w:rsidRDefault="008D7880">
      <w:pPr>
        <w:pBdr>
          <w:top w:val="nil"/>
          <w:left w:val="nil"/>
          <w:bottom w:val="nil"/>
          <w:right w:val="nil"/>
          <w:between w:val="nil"/>
        </w:pBdr>
        <w:tabs>
          <w:tab w:val="left" w:pos="1055"/>
        </w:tabs>
        <w:spacing w:line="360" w:lineRule="auto"/>
        <w:jc w:val="both"/>
        <w:rPr>
          <w:color w:val="000000"/>
          <w:sz w:val="24"/>
          <w:szCs w:val="24"/>
        </w:rPr>
      </w:pPr>
      <w:r>
        <w:rPr>
          <w:color w:val="000000"/>
          <w:sz w:val="24"/>
          <w:szCs w:val="24"/>
        </w:rPr>
        <w:t xml:space="preserve">Le linee guida pubblicate (EAU, AIOM) propongono quindi di diversificare il follow-up in base a categorie di rischio (definite sulla base di T, grading, invasione linfonodale, performance status secondo i nomogrammi UISS, Kattan, Sorbellini etc), tenendo anche in considerazione le condizioni del paziente e la disponibilità di alternative terapeutiche (Tabella </w:t>
      </w:r>
      <w:r w:rsidR="00B81CA9">
        <w:rPr>
          <w:color w:val="000000"/>
          <w:sz w:val="24"/>
          <w:szCs w:val="24"/>
        </w:rPr>
        <w:t>6</w:t>
      </w:r>
      <w:r>
        <w:rPr>
          <w:color w:val="000000"/>
          <w:sz w:val="24"/>
          <w:szCs w:val="24"/>
        </w:rPr>
        <w:t>). Il follow-up del paziente sottoposto a trattamento chirurgico con intento curativo è eseguito dall’urologo in collaborazione con l’oncologo ed il medico di medicina generale. È indicato coinvolgere il nefrologo in caso di insufficienza renale.</w:t>
      </w:r>
    </w:p>
    <w:p w14:paraId="4CD6AB92"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6280E4AA" w14:textId="06E3EBA2"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347BFAE2" w14:textId="77777777" w:rsidR="00AA14AB" w:rsidRDefault="00AA14AB">
      <w:pPr>
        <w:pBdr>
          <w:top w:val="nil"/>
          <w:left w:val="nil"/>
          <w:bottom w:val="nil"/>
          <w:right w:val="nil"/>
          <w:between w:val="nil"/>
        </w:pBdr>
        <w:tabs>
          <w:tab w:val="left" w:pos="1055"/>
        </w:tabs>
        <w:spacing w:line="360" w:lineRule="auto"/>
        <w:jc w:val="both"/>
        <w:rPr>
          <w:b/>
          <w:color w:val="000000"/>
          <w:sz w:val="24"/>
          <w:szCs w:val="24"/>
        </w:rPr>
      </w:pPr>
    </w:p>
    <w:p w14:paraId="0C78BEDB" w14:textId="77777777" w:rsidR="00AA14AB" w:rsidRDefault="00AA14AB">
      <w:pPr>
        <w:pBdr>
          <w:top w:val="nil"/>
          <w:left w:val="nil"/>
          <w:bottom w:val="nil"/>
          <w:right w:val="nil"/>
          <w:between w:val="nil"/>
        </w:pBdr>
        <w:tabs>
          <w:tab w:val="left" w:pos="1055"/>
        </w:tabs>
        <w:spacing w:line="360" w:lineRule="auto"/>
        <w:jc w:val="both"/>
        <w:rPr>
          <w:b/>
          <w:color w:val="000000"/>
          <w:sz w:val="24"/>
          <w:szCs w:val="24"/>
        </w:rPr>
      </w:pPr>
    </w:p>
    <w:p w14:paraId="2602213B" w14:textId="77777777" w:rsidR="00AA14AB" w:rsidRDefault="00AA14AB">
      <w:pPr>
        <w:pBdr>
          <w:top w:val="nil"/>
          <w:left w:val="nil"/>
          <w:bottom w:val="nil"/>
          <w:right w:val="nil"/>
          <w:between w:val="nil"/>
        </w:pBdr>
        <w:tabs>
          <w:tab w:val="left" w:pos="1055"/>
        </w:tabs>
        <w:spacing w:line="360" w:lineRule="auto"/>
        <w:jc w:val="both"/>
        <w:rPr>
          <w:b/>
          <w:color w:val="000000"/>
          <w:sz w:val="24"/>
          <w:szCs w:val="24"/>
        </w:rPr>
      </w:pPr>
    </w:p>
    <w:p w14:paraId="3286EDC4" w14:textId="77777777" w:rsidR="00AA14AB" w:rsidRDefault="00AA14AB">
      <w:pPr>
        <w:pBdr>
          <w:top w:val="nil"/>
          <w:left w:val="nil"/>
          <w:bottom w:val="nil"/>
          <w:right w:val="nil"/>
          <w:between w:val="nil"/>
        </w:pBdr>
        <w:tabs>
          <w:tab w:val="left" w:pos="1055"/>
        </w:tabs>
        <w:spacing w:line="360" w:lineRule="auto"/>
        <w:jc w:val="both"/>
        <w:rPr>
          <w:b/>
          <w:color w:val="000000"/>
          <w:sz w:val="24"/>
          <w:szCs w:val="24"/>
        </w:rPr>
      </w:pPr>
    </w:p>
    <w:p w14:paraId="5AD55561" w14:textId="66517B02" w:rsidR="00AA14AB" w:rsidRDefault="0022386E">
      <w:pPr>
        <w:pBdr>
          <w:top w:val="nil"/>
          <w:left w:val="nil"/>
          <w:bottom w:val="nil"/>
          <w:right w:val="nil"/>
          <w:between w:val="nil"/>
        </w:pBdr>
        <w:tabs>
          <w:tab w:val="left" w:pos="1055"/>
        </w:tabs>
        <w:spacing w:line="360" w:lineRule="auto"/>
        <w:jc w:val="both"/>
        <w:rPr>
          <w:b/>
          <w:color w:val="000000"/>
          <w:sz w:val="24"/>
          <w:szCs w:val="24"/>
        </w:rPr>
      </w:pPr>
      <w:r w:rsidRPr="0022386E">
        <w:rPr>
          <w:b/>
          <w:color w:val="000000"/>
          <w:sz w:val="24"/>
          <w:szCs w:val="24"/>
        </w:rPr>
        <w:t>Tabella 6. Schema di Follow-up adattato alle classi di rischio</w:t>
      </w:r>
    </w:p>
    <w:p w14:paraId="457910F3" w14:textId="77777777" w:rsidR="00AA14AB" w:rsidRDefault="00AA14AB">
      <w:pPr>
        <w:pBdr>
          <w:top w:val="nil"/>
          <w:left w:val="nil"/>
          <w:bottom w:val="nil"/>
          <w:right w:val="nil"/>
          <w:between w:val="nil"/>
        </w:pBdr>
        <w:tabs>
          <w:tab w:val="left" w:pos="1055"/>
        </w:tabs>
        <w:spacing w:line="360" w:lineRule="auto"/>
        <w:jc w:val="both"/>
        <w:rPr>
          <w:b/>
          <w:color w:val="000000"/>
          <w:sz w:val="24"/>
          <w:szCs w:val="24"/>
        </w:rPr>
      </w:pPr>
    </w:p>
    <w:p w14:paraId="27CD2181" w14:textId="15485717" w:rsidR="00AA14AB" w:rsidRPr="0022386E" w:rsidRDefault="0022386E" w:rsidP="0022386E">
      <w:pPr>
        <w:pBdr>
          <w:top w:val="nil"/>
          <w:left w:val="nil"/>
          <w:bottom w:val="nil"/>
          <w:right w:val="nil"/>
          <w:between w:val="nil"/>
        </w:pBdr>
        <w:tabs>
          <w:tab w:val="left" w:pos="1055"/>
        </w:tabs>
        <w:jc w:val="both"/>
        <w:rPr>
          <w:b/>
          <w:color w:val="000000"/>
        </w:rPr>
      </w:pPr>
      <w:r>
        <w:rPr>
          <w:b/>
          <w:color w:val="000000"/>
          <w:sz w:val="24"/>
          <w:szCs w:val="24"/>
        </w:rPr>
        <w:t xml:space="preserve">* </w:t>
      </w:r>
      <w:r w:rsidRPr="0022386E">
        <w:rPr>
          <w:color w:val="000000"/>
        </w:rPr>
        <w:t xml:space="preserve"> i pazienti ad alto rischio</w:t>
      </w:r>
      <w:r>
        <w:rPr>
          <w:color w:val="000000"/>
        </w:rPr>
        <w:t xml:space="preserve"> che</w:t>
      </w:r>
      <w:r w:rsidRPr="0022386E">
        <w:rPr>
          <w:color w:val="000000"/>
        </w:rPr>
        <w:t xml:space="preserve"> hanno una prima Tac negativa </w:t>
      </w:r>
      <w:r>
        <w:rPr>
          <w:color w:val="000000"/>
        </w:rPr>
        <w:t xml:space="preserve">, </w:t>
      </w:r>
      <w:r w:rsidRPr="0022386E">
        <w:rPr>
          <w:color w:val="000000"/>
        </w:rPr>
        <w:t>potrebbero eseguire una ecografia dell’addome dopo 3 mesi e la tac direttamente a 6 mesi</w:t>
      </w:r>
    </w:p>
    <w:p w14:paraId="5FB4A206" w14:textId="77777777" w:rsidR="00AA14AB" w:rsidRDefault="00AA14AB">
      <w:pPr>
        <w:pBdr>
          <w:top w:val="nil"/>
          <w:left w:val="nil"/>
          <w:bottom w:val="nil"/>
          <w:right w:val="nil"/>
          <w:between w:val="nil"/>
        </w:pBdr>
        <w:tabs>
          <w:tab w:val="left" w:pos="1055"/>
        </w:tabs>
        <w:spacing w:line="360" w:lineRule="auto"/>
        <w:jc w:val="both"/>
        <w:rPr>
          <w:b/>
          <w:color w:val="000000"/>
          <w:sz w:val="24"/>
          <w:szCs w:val="24"/>
        </w:rPr>
      </w:pPr>
    </w:p>
    <w:p w14:paraId="05D14BCB" w14:textId="75D5F716" w:rsidR="00231B0C" w:rsidRDefault="00231B0C">
      <w:pPr>
        <w:pBdr>
          <w:top w:val="nil"/>
          <w:left w:val="nil"/>
          <w:bottom w:val="nil"/>
          <w:right w:val="nil"/>
          <w:between w:val="nil"/>
        </w:pBdr>
        <w:tabs>
          <w:tab w:val="left" w:pos="1055"/>
        </w:tabs>
        <w:spacing w:line="360" w:lineRule="auto"/>
        <w:jc w:val="both"/>
        <w:rPr>
          <w:color w:val="000000"/>
          <w:sz w:val="24"/>
          <w:szCs w:val="24"/>
        </w:rPr>
      </w:pPr>
    </w:p>
    <w:tbl>
      <w:tblPr>
        <w:tblStyle w:val="a"/>
        <w:tblpPr w:leftFromText="141" w:rightFromText="141" w:vertAnchor="page" w:horzAnchor="margin" w:tblpY="2628"/>
        <w:tblW w:w="525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2"/>
        <w:gridCol w:w="1428"/>
        <w:gridCol w:w="2141"/>
        <w:gridCol w:w="2558"/>
        <w:gridCol w:w="2558"/>
      </w:tblGrid>
      <w:tr w:rsidR="00EF19EA" w14:paraId="75364D0E" w14:textId="77777777" w:rsidTr="00EF19EA">
        <w:trPr>
          <w:trHeight w:val="569"/>
        </w:trPr>
        <w:tc>
          <w:tcPr>
            <w:tcW w:w="708" w:type="pct"/>
            <w:tcBorders>
              <w:top w:val="single" w:sz="4" w:space="0" w:color="auto"/>
              <w:left w:val="single" w:sz="4" w:space="0" w:color="auto"/>
              <w:bottom w:val="single" w:sz="4" w:space="0" w:color="auto"/>
              <w:right w:val="single" w:sz="4" w:space="0" w:color="auto"/>
            </w:tcBorders>
            <w:shd w:val="clear" w:color="auto" w:fill="F7A25B"/>
          </w:tcPr>
          <w:p w14:paraId="2C7EAA91" w14:textId="77777777" w:rsidR="00AA14AB" w:rsidRPr="00425A04" w:rsidRDefault="00AA14AB" w:rsidP="00AA14AB">
            <w:pPr>
              <w:jc w:val="center"/>
              <w:rPr>
                <w:b/>
                <w:bCs/>
              </w:rPr>
            </w:pPr>
            <w:r w:rsidRPr="00425A04">
              <w:rPr>
                <w:b/>
                <w:bCs/>
              </w:rPr>
              <w:t>Livello di rischio</w:t>
            </w:r>
          </w:p>
        </w:tc>
        <w:tc>
          <w:tcPr>
            <w:tcW w:w="706" w:type="pct"/>
            <w:tcBorders>
              <w:top w:val="single" w:sz="4" w:space="0" w:color="auto"/>
              <w:left w:val="single" w:sz="4" w:space="0" w:color="auto"/>
              <w:bottom w:val="single" w:sz="4" w:space="0" w:color="auto"/>
              <w:right w:val="single" w:sz="4" w:space="0" w:color="auto"/>
            </w:tcBorders>
            <w:shd w:val="clear" w:color="auto" w:fill="F7A25B"/>
          </w:tcPr>
          <w:p w14:paraId="12624B94" w14:textId="77777777" w:rsidR="00AA14AB" w:rsidRPr="00425A04" w:rsidRDefault="00AA14AB" w:rsidP="00AA14AB">
            <w:pPr>
              <w:jc w:val="center"/>
              <w:rPr>
                <w:b/>
                <w:bCs/>
              </w:rPr>
            </w:pPr>
            <w:r w:rsidRPr="00425A04">
              <w:rPr>
                <w:b/>
                <w:bCs/>
              </w:rPr>
              <w:t>Visita oncologica</w:t>
            </w:r>
          </w:p>
        </w:tc>
        <w:tc>
          <w:tcPr>
            <w:tcW w:w="1058" w:type="pct"/>
            <w:tcBorders>
              <w:top w:val="single" w:sz="4" w:space="0" w:color="auto"/>
              <w:left w:val="single" w:sz="4" w:space="0" w:color="auto"/>
              <w:bottom w:val="single" w:sz="4" w:space="0" w:color="auto"/>
              <w:right w:val="single" w:sz="4" w:space="0" w:color="auto"/>
            </w:tcBorders>
            <w:shd w:val="clear" w:color="auto" w:fill="F7A25B"/>
          </w:tcPr>
          <w:p w14:paraId="5FFA2A81" w14:textId="77777777" w:rsidR="00AA14AB" w:rsidRPr="00425A04" w:rsidRDefault="00AA14AB" w:rsidP="00AA14AB">
            <w:pPr>
              <w:jc w:val="center"/>
              <w:rPr>
                <w:b/>
                <w:bCs/>
              </w:rPr>
            </w:pPr>
            <w:r w:rsidRPr="00425A04">
              <w:rPr>
                <w:b/>
                <w:bCs/>
              </w:rPr>
              <w:t>TC torace-addome con MdC</w:t>
            </w:r>
          </w:p>
        </w:tc>
        <w:tc>
          <w:tcPr>
            <w:tcW w:w="1264" w:type="pct"/>
            <w:tcBorders>
              <w:top w:val="single" w:sz="4" w:space="0" w:color="auto"/>
              <w:left w:val="single" w:sz="4" w:space="0" w:color="auto"/>
              <w:bottom w:val="single" w:sz="4" w:space="0" w:color="auto"/>
              <w:right w:val="single" w:sz="4" w:space="0" w:color="auto"/>
            </w:tcBorders>
            <w:shd w:val="clear" w:color="auto" w:fill="F7A25B"/>
          </w:tcPr>
          <w:p w14:paraId="1B3D8A7B" w14:textId="77777777" w:rsidR="00AA14AB" w:rsidRPr="00425A04" w:rsidRDefault="00AA14AB" w:rsidP="00AA14AB">
            <w:pPr>
              <w:jc w:val="center"/>
              <w:rPr>
                <w:b/>
                <w:bCs/>
              </w:rPr>
            </w:pPr>
            <w:r w:rsidRPr="00425A04">
              <w:rPr>
                <w:b/>
                <w:bCs/>
              </w:rPr>
              <w:t>Ecografia addome</w:t>
            </w:r>
          </w:p>
        </w:tc>
        <w:tc>
          <w:tcPr>
            <w:tcW w:w="1264" w:type="pct"/>
            <w:tcBorders>
              <w:top w:val="single" w:sz="4" w:space="0" w:color="auto"/>
              <w:left w:val="single" w:sz="4" w:space="0" w:color="auto"/>
              <w:bottom w:val="single" w:sz="4" w:space="0" w:color="auto"/>
              <w:right w:val="single" w:sz="4" w:space="0" w:color="auto"/>
            </w:tcBorders>
            <w:shd w:val="clear" w:color="auto" w:fill="F7A25B"/>
          </w:tcPr>
          <w:p w14:paraId="22F64E94" w14:textId="77777777" w:rsidR="00AA14AB" w:rsidRPr="00425A04" w:rsidRDefault="00AA14AB" w:rsidP="00AA14AB">
            <w:pPr>
              <w:jc w:val="center"/>
              <w:rPr>
                <w:b/>
                <w:bCs/>
              </w:rPr>
            </w:pPr>
            <w:r w:rsidRPr="00425A04">
              <w:rPr>
                <w:b/>
                <w:bCs/>
              </w:rPr>
              <w:t>Frequenza dopo 5 anni</w:t>
            </w:r>
          </w:p>
        </w:tc>
      </w:tr>
      <w:tr w:rsidR="00EF19EA" w14:paraId="08A0B12B" w14:textId="77777777" w:rsidTr="00EF19EA">
        <w:trPr>
          <w:trHeight w:val="853"/>
        </w:trPr>
        <w:tc>
          <w:tcPr>
            <w:tcW w:w="708" w:type="pct"/>
            <w:tcBorders>
              <w:top w:val="single" w:sz="4" w:space="0" w:color="auto"/>
            </w:tcBorders>
            <w:shd w:val="clear" w:color="auto" w:fill="FBD4B4" w:themeFill="accent6" w:themeFillTint="66"/>
          </w:tcPr>
          <w:p w14:paraId="2154D4DF" w14:textId="5B654C34" w:rsidR="00AA14AB" w:rsidRPr="00425A04" w:rsidRDefault="00AA14AB" w:rsidP="00AA14AB">
            <w:pPr>
              <w:rPr>
                <w:b/>
                <w:bCs/>
              </w:rPr>
            </w:pPr>
            <w:r w:rsidRPr="00425A04">
              <w:rPr>
                <w:b/>
                <w:bCs/>
              </w:rPr>
              <w:t xml:space="preserve">Alto rischio </w:t>
            </w:r>
            <w:r w:rsidR="0022386E">
              <w:rPr>
                <w:b/>
                <w:bCs/>
              </w:rPr>
              <w:t>*</w:t>
            </w:r>
          </w:p>
          <w:p w14:paraId="4E772496" w14:textId="77777777" w:rsidR="00AA14AB" w:rsidRPr="00425A04" w:rsidRDefault="00AA14AB" w:rsidP="00AA14AB">
            <w:pPr>
              <w:rPr>
                <w:b/>
                <w:bCs/>
              </w:rPr>
            </w:pPr>
          </w:p>
        </w:tc>
        <w:tc>
          <w:tcPr>
            <w:tcW w:w="706" w:type="pct"/>
            <w:tcBorders>
              <w:top w:val="single" w:sz="4" w:space="0" w:color="auto"/>
            </w:tcBorders>
            <w:shd w:val="clear" w:color="auto" w:fill="FBD4B4" w:themeFill="accent6" w:themeFillTint="66"/>
          </w:tcPr>
          <w:p w14:paraId="4BC36376" w14:textId="77777777" w:rsidR="00AA14AB" w:rsidRDefault="00AA14AB" w:rsidP="00AA14AB">
            <w:r>
              <w:t>- Ad ogni controllo con imaging</w:t>
            </w:r>
          </w:p>
        </w:tc>
        <w:tc>
          <w:tcPr>
            <w:tcW w:w="1058" w:type="pct"/>
            <w:tcBorders>
              <w:top w:val="single" w:sz="4" w:space="0" w:color="auto"/>
            </w:tcBorders>
            <w:shd w:val="clear" w:color="auto" w:fill="FBD4B4" w:themeFill="accent6" w:themeFillTint="66"/>
          </w:tcPr>
          <w:p w14:paraId="21CB7EF6" w14:textId="77777777" w:rsidR="00AA14AB" w:rsidRDefault="00AA14AB" w:rsidP="00AA14AB">
            <w:r>
              <w:t>- TC a 3, 6, 12, 18, 24, 30 e 36 mesi</w:t>
            </w:r>
          </w:p>
          <w:p w14:paraId="16D255B9" w14:textId="77777777" w:rsidR="00AA14AB" w:rsidRDefault="00AA14AB" w:rsidP="00AA14AB">
            <w:r>
              <w:t>- Ogni 12 mesi dal III al V anno</w:t>
            </w:r>
          </w:p>
        </w:tc>
        <w:tc>
          <w:tcPr>
            <w:tcW w:w="1264" w:type="pct"/>
            <w:tcBorders>
              <w:top w:val="single" w:sz="4" w:space="0" w:color="auto"/>
            </w:tcBorders>
            <w:shd w:val="clear" w:color="auto" w:fill="FBD4B4" w:themeFill="accent6" w:themeFillTint="66"/>
          </w:tcPr>
          <w:p w14:paraId="1E2F5015" w14:textId="77777777" w:rsidR="00AA14AB" w:rsidRDefault="00AA14AB" w:rsidP="00AA14AB">
            <w:r>
              <w:t>-</w:t>
            </w:r>
          </w:p>
        </w:tc>
        <w:tc>
          <w:tcPr>
            <w:tcW w:w="1264" w:type="pct"/>
            <w:tcBorders>
              <w:top w:val="single" w:sz="4" w:space="0" w:color="auto"/>
            </w:tcBorders>
            <w:shd w:val="clear" w:color="auto" w:fill="FBD4B4" w:themeFill="accent6" w:themeFillTint="66"/>
          </w:tcPr>
          <w:p w14:paraId="1820001C" w14:textId="77777777" w:rsidR="00AA14AB" w:rsidRDefault="00AA14AB" w:rsidP="00AA14AB">
            <w:r>
              <w:t>- TC ogni 2 anni dopo il V anno</w:t>
            </w:r>
          </w:p>
        </w:tc>
      </w:tr>
      <w:tr w:rsidR="00EF19EA" w14:paraId="769C2AEE" w14:textId="77777777" w:rsidTr="00EF19EA">
        <w:trPr>
          <w:trHeight w:val="1622"/>
        </w:trPr>
        <w:tc>
          <w:tcPr>
            <w:tcW w:w="708" w:type="pct"/>
            <w:shd w:val="clear" w:color="auto" w:fill="FDE9D9" w:themeFill="accent6" w:themeFillTint="33"/>
          </w:tcPr>
          <w:p w14:paraId="06917E83" w14:textId="77777777" w:rsidR="00AA14AB" w:rsidRPr="00425A04" w:rsidRDefault="00AA14AB" w:rsidP="00AA14AB">
            <w:pPr>
              <w:rPr>
                <w:b/>
                <w:bCs/>
              </w:rPr>
            </w:pPr>
            <w:r w:rsidRPr="00425A04">
              <w:rPr>
                <w:b/>
                <w:bCs/>
                <w:noProof/>
              </w:rPr>
              <mc:AlternateContent>
                <mc:Choice Requires="wps">
                  <w:drawing>
                    <wp:inline distT="0" distB="0" distL="0" distR="0" wp14:anchorId="70E4C965" wp14:editId="140F0F3F">
                      <wp:extent cx="304800" cy="304800"/>
                      <wp:effectExtent l="0" t="0" r="0" b="0"/>
                      <wp:docPr id="887001729" name="Rettangolo 887001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2B030B1B" id="Rettangolo 8870017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25A04">
              <w:rPr>
                <w:b/>
                <w:bCs/>
              </w:rPr>
              <w:t>Intermedio rischio</w:t>
            </w:r>
          </w:p>
          <w:p w14:paraId="16AF0F61" w14:textId="77777777" w:rsidR="00AA14AB" w:rsidRPr="00425A04" w:rsidRDefault="00AA14AB" w:rsidP="00AA14AB">
            <w:pPr>
              <w:rPr>
                <w:b/>
                <w:bCs/>
              </w:rPr>
            </w:pPr>
          </w:p>
          <w:p w14:paraId="54EDC106" w14:textId="77777777" w:rsidR="00AA14AB" w:rsidRPr="00425A04" w:rsidRDefault="00AA14AB" w:rsidP="00AA14AB">
            <w:pPr>
              <w:rPr>
                <w:b/>
                <w:bCs/>
              </w:rPr>
            </w:pPr>
            <w:r w:rsidRPr="00425A04">
              <w:rPr>
                <w:b/>
                <w:bCs/>
              </w:rPr>
              <w:t xml:space="preserve"> </w:t>
            </w:r>
          </w:p>
          <w:p w14:paraId="4012D347" w14:textId="77777777" w:rsidR="00AA14AB" w:rsidRPr="00425A04" w:rsidRDefault="00AA14AB" w:rsidP="00AA14AB">
            <w:pPr>
              <w:rPr>
                <w:b/>
                <w:bCs/>
              </w:rPr>
            </w:pPr>
          </w:p>
        </w:tc>
        <w:tc>
          <w:tcPr>
            <w:tcW w:w="706" w:type="pct"/>
            <w:shd w:val="clear" w:color="auto" w:fill="FDE9D9" w:themeFill="accent6" w:themeFillTint="33"/>
          </w:tcPr>
          <w:p w14:paraId="2D402B4D" w14:textId="77777777" w:rsidR="00AA14AB" w:rsidRDefault="00AA14AB" w:rsidP="00AA14AB">
            <w:r>
              <w:t>- Ad ogni controllo con imaging</w:t>
            </w:r>
          </w:p>
        </w:tc>
        <w:tc>
          <w:tcPr>
            <w:tcW w:w="1058" w:type="pct"/>
            <w:shd w:val="clear" w:color="auto" w:fill="FDE9D9" w:themeFill="accent6" w:themeFillTint="33"/>
          </w:tcPr>
          <w:p w14:paraId="11CA0104" w14:textId="77777777" w:rsidR="00AA14AB" w:rsidRDefault="00AA14AB" w:rsidP="00AA14AB">
            <w:r>
              <w:t xml:space="preserve">- TC a 6, 12, 24, 36 mesi </w:t>
            </w:r>
          </w:p>
          <w:p w14:paraId="0D95BA57" w14:textId="77777777" w:rsidR="00AA14AB" w:rsidRDefault="00AA14AB" w:rsidP="00AA14AB">
            <w:r>
              <w:t>- Ogni 12 mesi dal III al V anno</w:t>
            </w:r>
          </w:p>
        </w:tc>
        <w:tc>
          <w:tcPr>
            <w:tcW w:w="1264" w:type="pct"/>
            <w:shd w:val="clear" w:color="auto" w:fill="FDE9D9" w:themeFill="accent6" w:themeFillTint="33"/>
          </w:tcPr>
          <w:p w14:paraId="441A64CF" w14:textId="77777777" w:rsidR="00AA14AB" w:rsidRDefault="00AA14AB" w:rsidP="00AA14AB">
            <w:r>
              <w:t>-</w:t>
            </w:r>
          </w:p>
        </w:tc>
        <w:tc>
          <w:tcPr>
            <w:tcW w:w="1264" w:type="pct"/>
            <w:shd w:val="clear" w:color="auto" w:fill="FDE9D9" w:themeFill="accent6" w:themeFillTint="33"/>
          </w:tcPr>
          <w:p w14:paraId="439A44CC" w14:textId="77777777" w:rsidR="00AA14AB" w:rsidRDefault="00AA14AB" w:rsidP="00AA14AB">
            <w:r>
              <w:t>- TC ogni 2 anni dopo il V anno</w:t>
            </w:r>
          </w:p>
        </w:tc>
      </w:tr>
      <w:tr w:rsidR="00EF19EA" w14:paraId="22358857" w14:textId="77777777" w:rsidTr="00EF19EA">
        <w:trPr>
          <w:trHeight w:val="1114"/>
        </w:trPr>
        <w:tc>
          <w:tcPr>
            <w:tcW w:w="708" w:type="pct"/>
            <w:shd w:val="clear" w:color="auto" w:fill="FBD4B4" w:themeFill="accent6" w:themeFillTint="66"/>
          </w:tcPr>
          <w:p w14:paraId="1F3B09D1" w14:textId="2A9D6FBC" w:rsidR="00AA14AB" w:rsidRPr="00425A04" w:rsidRDefault="00AA14AB" w:rsidP="00AA14AB">
            <w:pPr>
              <w:rPr>
                <w:b/>
                <w:bCs/>
              </w:rPr>
            </w:pPr>
            <w:r w:rsidRPr="00425A04">
              <w:rPr>
                <w:b/>
                <w:bCs/>
              </w:rPr>
              <w:t>Basso rischio</w:t>
            </w:r>
          </w:p>
          <w:p w14:paraId="36F44ADA" w14:textId="77777777" w:rsidR="00AA14AB" w:rsidRPr="00425A04" w:rsidRDefault="00AA14AB" w:rsidP="00AA14AB">
            <w:pPr>
              <w:rPr>
                <w:b/>
                <w:bCs/>
              </w:rPr>
            </w:pPr>
            <w:r w:rsidRPr="00425A04">
              <w:rPr>
                <w:b/>
                <w:bCs/>
              </w:rPr>
              <w:t xml:space="preserve"> </w:t>
            </w:r>
          </w:p>
          <w:p w14:paraId="54E86250" w14:textId="77777777" w:rsidR="00AA14AB" w:rsidRPr="00425A04" w:rsidRDefault="00AA14AB" w:rsidP="00AA14AB">
            <w:pPr>
              <w:rPr>
                <w:b/>
                <w:bCs/>
              </w:rPr>
            </w:pPr>
          </w:p>
        </w:tc>
        <w:tc>
          <w:tcPr>
            <w:tcW w:w="706" w:type="pct"/>
            <w:shd w:val="clear" w:color="auto" w:fill="FBD4B4" w:themeFill="accent6" w:themeFillTint="66"/>
          </w:tcPr>
          <w:p w14:paraId="72107E16" w14:textId="77777777" w:rsidR="00AA14AB" w:rsidRDefault="00AA14AB" w:rsidP="00AA14AB">
            <w:r>
              <w:t>- Ad ogni controllo con imaging</w:t>
            </w:r>
          </w:p>
        </w:tc>
        <w:tc>
          <w:tcPr>
            <w:tcW w:w="1058" w:type="pct"/>
            <w:shd w:val="clear" w:color="auto" w:fill="FBD4B4" w:themeFill="accent6" w:themeFillTint="66"/>
          </w:tcPr>
          <w:p w14:paraId="7DC208D3" w14:textId="77777777" w:rsidR="00AA14AB" w:rsidRDefault="00AA14AB" w:rsidP="00AA14AB">
            <w:r>
              <w:t xml:space="preserve">- TC a 12, 18, 30 mesi </w:t>
            </w:r>
          </w:p>
          <w:p w14:paraId="17D98A27" w14:textId="77777777" w:rsidR="00AA14AB" w:rsidRDefault="00AA14AB" w:rsidP="00AA14AB">
            <w:r>
              <w:t>- Ogni 24 mesi dopo il III anno</w:t>
            </w:r>
          </w:p>
        </w:tc>
        <w:tc>
          <w:tcPr>
            <w:tcW w:w="1264" w:type="pct"/>
            <w:shd w:val="clear" w:color="auto" w:fill="FBD4B4" w:themeFill="accent6" w:themeFillTint="66"/>
          </w:tcPr>
          <w:p w14:paraId="0F95CB9E" w14:textId="77777777" w:rsidR="00AA14AB" w:rsidRDefault="00AA14AB" w:rsidP="00AA14AB">
            <w:r>
              <w:t>-Ecografia addome a 6, 24 mesi</w:t>
            </w:r>
          </w:p>
          <w:p w14:paraId="00B130E3" w14:textId="77777777" w:rsidR="00AA14AB" w:rsidRDefault="00AA14AB" w:rsidP="00AA14AB">
            <w:r>
              <w:t>-Ogni 12 mesi dopo il III anno</w:t>
            </w:r>
          </w:p>
        </w:tc>
        <w:tc>
          <w:tcPr>
            <w:tcW w:w="1264" w:type="pct"/>
            <w:shd w:val="clear" w:color="auto" w:fill="FBD4B4" w:themeFill="accent6" w:themeFillTint="66"/>
          </w:tcPr>
          <w:p w14:paraId="28AD28B1" w14:textId="77777777" w:rsidR="00AA14AB" w:rsidRDefault="00AA14AB" w:rsidP="00AA14AB">
            <w:r>
              <w:t>- Nessun follow-up raccomandato oltre il V anno, salvo indicazioni cliniche</w:t>
            </w:r>
          </w:p>
        </w:tc>
      </w:tr>
    </w:tbl>
    <w:p w14:paraId="21C1EFF7" w14:textId="3737B925" w:rsidR="00EF19EA" w:rsidRPr="00425A04" w:rsidRDefault="00EF19EA" w:rsidP="00425A04">
      <w:pPr>
        <w:pBdr>
          <w:top w:val="nil"/>
          <w:left w:val="nil"/>
          <w:bottom w:val="nil"/>
          <w:right w:val="nil"/>
          <w:between w:val="nil"/>
        </w:pBdr>
        <w:spacing w:before="1"/>
        <w:rPr>
          <w:bCs/>
          <w:color w:val="000000"/>
          <w:sz w:val="16"/>
          <w:szCs w:val="16"/>
          <w:lang w:val="en-US"/>
        </w:rPr>
      </w:pPr>
      <w:r w:rsidRPr="00425A04">
        <w:rPr>
          <w:bCs/>
          <w:color w:val="000000"/>
          <w:sz w:val="16"/>
          <w:szCs w:val="16"/>
          <w:lang w:val="en-US"/>
        </w:rPr>
        <w:t xml:space="preserve">Bex, A. et al. EAU 2025 </w:t>
      </w:r>
      <w:r w:rsidR="00C4688D" w:rsidRPr="00425A04">
        <w:rPr>
          <w:bCs/>
          <w:color w:val="000000"/>
          <w:sz w:val="16"/>
          <w:szCs w:val="16"/>
          <w:lang w:val="en-US"/>
        </w:rPr>
        <w:t>Guidelines On Renal Cell Carcinoma</w:t>
      </w:r>
      <w:r w:rsidRPr="00425A04">
        <w:rPr>
          <w:bCs/>
          <w:color w:val="000000"/>
          <w:sz w:val="16"/>
          <w:szCs w:val="16"/>
          <w:lang w:val="en-US"/>
        </w:rPr>
        <w:t>.</w:t>
      </w:r>
    </w:p>
    <w:p w14:paraId="7C1C47E9" w14:textId="11B88137" w:rsidR="00AA14AB" w:rsidRPr="00425A04" w:rsidRDefault="00EF19EA" w:rsidP="00425A04">
      <w:pPr>
        <w:pBdr>
          <w:top w:val="nil"/>
          <w:left w:val="nil"/>
          <w:bottom w:val="nil"/>
          <w:right w:val="nil"/>
          <w:between w:val="nil"/>
        </w:pBdr>
        <w:spacing w:before="1"/>
        <w:rPr>
          <w:bCs/>
          <w:color w:val="000000"/>
          <w:sz w:val="16"/>
          <w:szCs w:val="16"/>
          <w:lang w:val="en-US"/>
        </w:rPr>
      </w:pPr>
      <w:r w:rsidRPr="00425A04">
        <w:rPr>
          <w:bCs/>
          <w:color w:val="000000"/>
          <w:sz w:val="16"/>
          <w:szCs w:val="16"/>
          <w:lang w:val="en-US"/>
        </w:rPr>
        <w:t>Ljungberg, B. et al 2019 European Association of Urology Guidelines on Renal Cell Carcinoma: The 2019 Update</w:t>
      </w:r>
    </w:p>
    <w:p w14:paraId="1FBF1F8D" w14:textId="77777777" w:rsidR="00AA14AB" w:rsidRPr="00425A04" w:rsidRDefault="00AA14AB">
      <w:pPr>
        <w:pBdr>
          <w:top w:val="nil"/>
          <w:left w:val="nil"/>
          <w:bottom w:val="nil"/>
          <w:right w:val="nil"/>
          <w:between w:val="nil"/>
        </w:pBdr>
        <w:spacing w:before="1"/>
        <w:ind w:left="293"/>
        <w:jc w:val="both"/>
        <w:rPr>
          <w:b/>
          <w:color w:val="000000"/>
          <w:sz w:val="16"/>
          <w:szCs w:val="16"/>
          <w:lang w:val="en-US"/>
        </w:rPr>
      </w:pPr>
    </w:p>
    <w:p w14:paraId="7A228569" w14:textId="77777777" w:rsidR="00AA14AB" w:rsidRPr="00425A04" w:rsidRDefault="00AA14AB">
      <w:pPr>
        <w:pBdr>
          <w:top w:val="nil"/>
          <w:left w:val="nil"/>
          <w:bottom w:val="nil"/>
          <w:right w:val="nil"/>
          <w:between w:val="nil"/>
        </w:pBdr>
        <w:spacing w:before="1"/>
        <w:ind w:left="293"/>
        <w:jc w:val="both"/>
        <w:rPr>
          <w:b/>
          <w:color w:val="000000"/>
          <w:sz w:val="24"/>
          <w:szCs w:val="24"/>
          <w:lang w:val="en-US"/>
        </w:rPr>
      </w:pPr>
    </w:p>
    <w:p w14:paraId="530CB593" w14:textId="5EE8EFF0" w:rsidR="00AA14AB" w:rsidRDefault="00AA14AB">
      <w:pPr>
        <w:pBdr>
          <w:top w:val="nil"/>
          <w:left w:val="nil"/>
          <w:bottom w:val="nil"/>
          <w:right w:val="nil"/>
          <w:between w:val="nil"/>
        </w:pBdr>
        <w:spacing w:before="1"/>
        <w:ind w:left="293"/>
        <w:jc w:val="both"/>
        <w:rPr>
          <w:b/>
          <w:color w:val="000000"/>
          <w:sz w:val="24"/>
          <w:szCs w:val="24"/>
          <w:lang w:val="en-US"/>
        </w:rPr>
      </w:pPr>
    </w:p>
    <w:p w14:paraId="2949BFD4" w14:textId="0D50E23D" w:rsidR="0022386E" w:rsidRDefault="0022386E">
      <w:pPr>
        <w:pBdr>
          <w:top w:val="nil"/>
          <w:left w:val="nil"/>
          <w:bottom w:val="nil"/>
          <w:right w:val="nil"/>
          <w:between w:val="nil"/>
        </w:pBdr>
        <w:spacing w:before="1"/>
        <w:ind w:left="293"/>
        <w:jc w:val="both"/>
        <w:rPr>
          <w:b/>
          <w:color w:val="000000"/>
          <w:sz w:val="24"/>
          <w:szCs w:val="24"/>
          <w:lang w:val="en-US"/>
        </w:rPr>
      </w:pPr>
    </w:p>
    <w:p w14:paraId="7303F6CE" w14:textId="7A2022F6" w:rsidR="0022386E" w:rsidRDefault="0022386E">
      <w:pPr>
        <w:pBdr>
          <w:top w:val="nil"/>
          <w:left w:val="nil"/>
          <w:bottom w:val="nil"/>
          <w:right w:val="nil"/>
          <w:between w:val="nil"/>
        </w:pBdr>
        <w:spacing w:before="1"/>
        <w:ind w:left="293"/>
        <w:jc w:val="both"/>
        <w:rPr>
          <w:b/>
          <w:color w:val="000000"/>
          <w:sz w:val="24"/>
          <w:szCs w:val="24"/>
          <w:lang w:val="en-US"/>
        </w:rPr>
      </w:pPr>
    </w:p>
    <w:p w14:paraId="3DEA2763" w14:textId="5AF5C9B8" w:rsidR="0022386E" w:rsidRDefault="0022386E">
      <w:pPr>
        <w:pBdr>
          <w:top w:val="nil"/>
          <w:left w:val="nil"/>
          <w:bottom w:val="nil"/>
          <w:right w:val="nil"/>
          <w:between w:val="nil"/>
        </w:pBdr>
        <w:spacing w:before="1"/>
        <w:ind w:left="293"/>
        <w:jc w:val="both"/>
        <w:rPr>
          <w:b/>
          <w:color w:val="000000"/>
          <w:sz w:val="24"/>
          <w:szCs w:val="24"/>
          <w:lang w:val="en-US"/>
        </w:rPr>
      </w:pPr>
    </w:p>
    <w:p w14:paraId="22487FFF" w14:textId="52631F8B" w:rsidR="0022386E" w:rsidRDefault="0022386E">
      <w:pPr>
        <w:pBdr>
          <w:top w:val="nil"/>
          <w:left w:val="nil"/>
          <w:bottom w:val="nil"/>
          <w:right w:val="nil"/>
          <w:between w:val="nil"/>
        </w:pBdr>
        <w:spacing w:before="1"/>
        <w:ind w:left="293"/>
        <w:jc w:val="both"/>
        <w:rPr>
          <w:b/>
          <w:color w:val="000000"/>
          <w:sz w:val="24"/>
          <w:szCs w:val="24"/>
          <w:lang w:val="en-US"/>
        </w:rPr>
      </w:pPr>
    </w:p>
    <w:p w14:paraId="3FBE0365" w14:textId="779502BE" w:rsidR="0022386E" w:rsidRDefault="0022386E">
      <w:pPr>
        <w:pBdr>
          <w:top w:val="nil"/>
          <w:left w:val="nil"/>
          <w:bottom w:val="nil"/>
          <w:right w:val="nil"/>
          <w:between w:val="nil"/>
        </w:pBdr>
        <w:spacing w:before="1"/>
        <w:ind w:left="293"/>
        <w:jc w:val="both"/>
        <w:rPr>
          <w:b/>
          <w:color w:val="000000"/>
          <w:sz w:val="24"/>
          <w:szCs w:val="24"/>
          <w:lang w:val="en-US"/>
        </w:rPr>
      </w:pPr>
    </w:p>
    <w:p w14:paraId="2A97370C" w14:textId="0627A34D" w:rsidR="0022386E" w:rsidRDefault="0022386E">
      <w:pPr>
        <w:pBdr>
          <w:top w:val="nil"/>
          <w:left w:val="nil"/>
          <w:bottom w:val="nil"/>
          <w:right w:val="nil"/>
          <w:between w:val="nil"/>
        </w:pBdr>
        <w:spacing w:before="1"/>
        <w:ind w:left="293"/>
        <w:jc w:val="both"/>
        <w:rPr>
          <w:b/>
          <w:color w:val="000000"/>
          <w:sz w:val="24"/>
          <w:szCs w:val="24"/>
          <w:lang w:val="en-US"/>
        </w:rPr>
      </w:pPr>
    </w:p>
    <w:p w14:paraId="39B06F94" w14:textId="40B559DB" w:rsidR="0022386E" w:rsidRDefault="0022386E">
      <w:pPr>
        <w:pBdr>
          <w:top w:val="nil"/>
          <w:left w:val="nil"/>
          <w:bottom w:val="nil"/>
          <w:right w:val="nil"/>
          <w:between w:val="nil"/>
        </w:pBdr>
        <w:spacing w:before="1"/>
        <w:ind w:left="293"/>
        <w:jc w:val="both"/>
        <w:rPr>
          <w:b/>
          <w:color w:val="000000"/>
          <w:sz w:val="24"/>
          <w:szCs w:val="24"/>
          <w:lang w:val="en-US"/>
        </w:rPr>
      </w:pPr>
    </w:p>
    <w:p w14:paraId="0844FF47" w14:textId="5A01FCAA" w:rsidR="0022386E" w:rsidRDefault="0022386E">
      <w:pPr>
        <w:pBdr>
          <w:top w:val="nil"/>
          <w:left w:val="nil"/>
          <w:bottom w:val="nil"/>
          <w:right w:val="nil"/>
          <w:between w:val="nil"/>
        </w:pBdr>
        <w:spacing w:before="1"/>
        <w:ind w:left="293"/>
        <w:jc w:val="both"/>
        <w:rPr>
          <w:b/>
          <w:color w:val="000000"/>
          <w:sz w:val="24"/>
          <w:szCs w:val="24"/>
          <w:lang w:val="en-US"/>
        </w:rPr>
      </w:pPr>
    </w:p>
    <w:p w14:paraId="1946F69A" w14:textId="526F3A8D" w:rsidR="0022386E" w:rsidRDefault="0022386E">
      <w:pPr>
        <w:pBdr>
          <w:top w:val="nil"/>
          <w:left w:val="nil"/>
          <w:bottom w:val="nil"/>
          <w:right w:val="nil"/>
          <w:between w:val="nil"/>
        </w:pBdr>
        <w:spacing w:before="1"/>
        <w:ind w:left="293"/>
        <w:jc w:val="both"/>
        <w:rPr>
          <w:b/>
          <w:color w:val="000000"/>
          <w:sz w:val="24"/>
          <w:szCs w:val="24"/>
          <w:lang w:val="en-US"/>
        </w:rPr>
      </w:pPr>
    </w:p>
    <w:p w14:paraId="10260D71" w14:textId="1EDE4FD7" w:rsidR="0022386E" w:rsidRDefault="0022386E">
      <w:pPr>
        <w:pBdr>
          <w:top w:val="nil"/>
          <w:left w:val="nil"/>
          <w:bottom w:val="nil"/>
          <w:right w:val="nil"/>
          <w:between w:val="nil"/>
        </w:pBdr>
        <w:spacing w:before="1"/>
        <w:ind w:left="293"/>
        <w:jc w:val="both"/>
        <w:rPr>
          <w:b/>
          <w:color w:val="000000"/>
          <w:sz w:val="24"/>
          <w:szCs w:val="24"/>
          <w:lang w:val="en-US"/>
        </w:rPr>
      </w:pPr>
    </w:p>
    <w:p w14:paraId="51A9AFE4" w14:textId="75CD8DEC" w:rsidR="0022386E" w:rsidRDefault="0022386E">
      <w:pPr>
        <w:pBdr>
          <w:top w:val="nil"/>
          <w:left w:val="nil"/>
          <w:bottom w:val="nil"/>
          <w:right w:val="nil"/>
          <w:between w:val="nil"/>
        </w:pBdr>
        <w:spacing w:before="1"/>
        <w:ind w:left="293"/>
        <w:jc w:val="both"/>
        <w:rPr>
          <w:b/>
          <w:color w:val="000000"/>
          <w:sz w:val="24"/>
          <w:szCs w:val="24"/>
          <w:lang w:val="en-US"/>
        </w:rPr>
      </w:pPr>
    </w:p>
    <w:p w14:paraId="69CA9D9A" w14:textId="1D0D1B5A" w:rsidR="0022386E" w:rsidRDefault="0022386E">
      <w:pPr>
        <w:pBdr>
          <w:top w:val="nil"/>
          <w:left w:val="nil"/>
          <w:bottom w:val="nil"/>
          <w:right w:val="nil"/>
          <w:between w:val="nil"/>
        </w:pBdr>
        <w:spacing w:before="1"/>
        <w:ind w:left="293"/>
        <w:jc w:val="both"/>
        <w:rPr>
          <w:b/>
          <w:color w:val="000000"/>
          <w:sz w:val="24"/>
          <w:szCs w:val="24"/>
          <w:lang w:val="en-US"/>
        </w:rPr>
      </w:pPr>
    </w:p>
    <w:p w14:paraId="1ADF0F95" w14:textId="7A659055" w:rsidR="0022386E" w:rsidRDefault="0022386E">
      <w:pPr>
        <w:pBdr>
          <w:top w:val="nil"/>
          <w:left w:val="nil"/>
          <w:bottom w:val="nil"/>
          <w:right w:val="nil"/>
          <w:between w:val="nil"/>
        </w:pBdr>
        <w:spacing w:before="1"/>
        <w:ind w:left="293"/>
        <w:jc w:val="both"/>
        <w:rPr>
          <w:b/>
          <w:color w:val="000000"/>
          <w:sz w:val="24"/>
          <w:szCs w:val="24"/>
          <w:lang w:val="en-US"/>
        </w:rPr>
      </w:pPr>
    </w:p>
    <w:p w14:paraId="255EF87A" w14:textId="476F33DD" w:rsidR="0022386E" w:rsidRDefault="0022386E">
      <w:pPr>
        <w:pBdr>
          <w:top w:val="nil"/>
          <w:left w:val="nil"/>
          <w:bottom w:val="nil"/>
          <w:right w:val="nil"/>
          <w:between w:val="nil"/>
        </w:pBdr>
        <w:spacing w:before="1"/>
        <w:ind w:left="293"/>
        <w:jc w:val="both"/>
        <w:rPr>
          <w:b/>
          <w:color w:val="000000"/>
          <w:sz w:val="24"/>
          <w:szCs w:val="24"/>
          <w:lang w:val="en-US"/>
        </w:rPr>
      </w:pPr>
    </w:p>
    <w:p w14:paraId="1025936F" w14:textId="0C95BD41" w:rsidR="0022386E" w:rsidRDefault="0022386E">
      <w:pPr>
        <w:pBdr>
          <w:top w:val="nil"/>
          <w:left w:val="nil"/>
          <w:bottom w:val="nil"/>
          <w:right w:val="nil"/>
          <w:between w:val="nil"/>
        </w:pBdr>
        <w:spacing w:before="1"/>
        <w:ind w:left="293"/>
        <w:jc w:val="both"/>
        <w:rPr>
          <w:b/>
          <w:color w:val="000000"/>
          <w:sz w:val="24"/>
          <w:szCs w:val="24"/>
          <w:lang w:val="en-US"/>
        </w:rPr>
      </w:pPr>
    </w:p>
    <w:p w14:paraId="678A155E" w14:textId="37629E2D" w:rsidR="0022386E" w:rsidRDefault="0022386E">
      <w:pPr>
        <w:pBdr>
          <w:top w:val="nil"/>
          <w:left w:val="nil"/>
          <w:bottom w:val="nil"/>
          <w:right w:val="nil"/>
          <w:between w:val="nil"/>
        </w:pBdr>
        <w:spacing w:before="1"/>
        <w:ind w:left="293"/>
        <w:jc w:val="both"/>
        <w:rPr>
          <w:b/>
          <w:color w:val="000000"/>
          <w:sz w:val="24"/>
          <w:szCs w:val="24"/>
          <w:lang w:val="en-US"/>
        </w:rPr>
      </w:pPr>
    </w:p>
    <w:p w14:paraId="5D5AF4D2" w14:textId="056EF947" w:rsidR="0022386E" w:rsidRDefault="0022386E">
      <w:pPr>
        <w:pBdr>
          <w:top w:val="nil"/>
          <w:left w:val="nil"/>
          <w:bottom w:val="nil"/>
          <w:right w:val="nil"/>
          <w:between w:val="nil"/>
        </w:pBdr>
        <w:spacing w:before="1"/>
        <w:ind w:left="293"/>
        <w:jc w:val="both"/>
        <w:rPr>
          <w:b/>
          <w:color w:val="000000"/>
          <w:sz w:val="24"/>
          <w:szCs w:val="24"/>
          <w:lang w:val="en-US"/>
        </w:rPr>
      </w:pPr>
    </w:p>
    <w:p w14:paraId="0D5DDC3B" w14:textId="64D68931" w:rsidR="0022386E" w:rsidRDefault="0022386E">
      <w:pPr>
        <w:pBdr>
          <w:top w:val="nil"/>
          <w:left w:val="nil"/>
          <w:bottom w:val="nil"/>
          <w:right w:val="nil"/>
          <w:between w:val="nil"/>
        </w:pBdr>
        <w:spacing w:before="1"/>
        <w:ind w:left="293"/>
        <w:jc w:val="both"/>
        <w:rPr>
          <w:b/>
          <w:color w:val="000000"/>
          <w:sz w:val="24"/>
          <w:szCs w:val="24"/>
          <w:lang w:val="en-US"/>
        </w:rPr>
      </w:pPr>
    </w:p>
    <w:p w14:paraId="1559FAC4" w14:textId="37F5DC23" w:rsidR="0022386E" w:rsidRDefault="0022386E">
      <w:pPr>
        <w:pBdr>
          <w:top w:val="nil"/>
          <w:left w:val="nil"/>
          <w:bottom w:val="nil"/>
          <w:right w:val="nil"/>
          <w:between w:val="nil"/>
        </w:pBdr>
        <w:spacing w:before="1"/>
        <w:ind w:left="293"/>
        <w:jc w:val="both"/>
        <w:rPr>
          <w:b/>
          <w:color w:val="000000"/>
          <w:sz w:val="24"/>
          <w:szCs w:val="24"/>
          <w:lang w:val="en-US"/>
        </w:rPr>
      </w:pPr>
    </w:p>
    <w:p w14:paraId="6E0B07A0" w14:textId="383067F5" w:rsidR="0022386E" w:rsidRDefault="0022386E">
      <w:pPr>
        <w:pBdr>
          <w:top w:val="nil"/>
          <w:left w:val="nil"/>
          <w:bottom w:val="nil"/>
          <w:right w:val="nil"/>
          <w:between w:val="nil"/>
        </w:pBdr>
        <w:spacing w:before="1"/>
        <w:ind w:left="293"/>
        <w:jc w:val="both"/>
        <w:rPr>
          <w:b/>
          <w:color w:val="000000"/>
          <w:sz w:val="24"/>
          <w:szCs w:val="24"/>
          <w:lang w:val="en-US"/>
        </w:rPr>
      </w:pPr>
    </w:p>
    <w:p w14:paraId="3410EBF6" w14:textId="0838FA90" w:rsidR="0022386E" w:rsidRDefault="0022386E">
      <w:pPr>
        <w:pBdr>
          <w:top w:val="nil"/>
          <w:left w:val="nil"/>
          <w:bottom w:val="nil"/>
          <w:right w:val="nil"/>
          <w:between w:val="nil"/>
        </w:pBdr>
        <w:spacing w:before="1"/>
        <w:ind w:left="293"/>
        <w:jc w:val="both"/>
        <w:rPr>
          <w:b/>
          <w:color w:val="000000"/>
          <w:sz w:val="24"/>
          <w:szCs w:val="24"/>
          <w:lang w:val="en-US"/>
        </w:rPr>
      </w:pPr>
    </w:p>
    <w:p w14:paraId="0CF110A7" w14:textId="77777777" w:rsidR="0022386E" w:rsidRPr="00425A04" w:rsidRDefault="0022386E">
      <w:pPr>
        <w:pBdr>
          <w:top w:val="nil"/>
          <w:left w:val="nil"/>
          <w:bottom w:val="nil"/>
          <w:right w:val="nil"/>
          <w:between w:val="nil"/>
        </w:pBdr>
        <w:spacing w:before="1"/>
        <w:ind w:left="293"/>
        <w:jc w:val="both"/>
        <w:rPr>
          <w:b/>
          <w:color w:val="000000"/>
          <w:sz w:val="24"/>
          <w:szCs w:val="24"/>
          <w:lang w:val="en-US"/>
        </w:rPr>
      </w:pPr>
    </w:p>
    <w:p w14:paraId="259240CE" w14:textId="5D4975D5" w:rsidR="00231B0C" w:rsidRDefault="008D7880">
      <w:pPr>
        <w:pBdr>
          <w:top w:val="nil"/>
          <w:left w:val="nil"/>
          <w:bottom w:val="nil"/>
          <w:right w:val="nil"/>
          <w:between w:val="nil"/>
        </w:pBdr>
        <w:spacing w:before="1"/>
        <w:ind w:left="293"/>
        <w:jc w:val="both"/>
        <w:rPr>
          <w:color w:val="000000"/>
          <w:sz w:val="24"/>
          <w:szCs w:val="24"/>
        </w:rPr>
      </w:pPr>
      <w:r>
        <w:rPr>
          <w:b/>
          <w:color w:val="000000"/>
          <w:sz w:val="24"/>
          <w:szCs w:val="24"/>
        </w:rPr>
        <w:lastRenderedPageBreak/>
        <w:t>CURE PALLIATIVE</w:t>
      </w:r>
    </w:p>
    <w:p w14:paraId="76CCD9A7" w14:textId="77777777" w:rsidR="00231B0C" w:rsidRDefault="00231B0C">
      <w:pPr>
        <w:pBdr>
          <w:top w:val="nil"/>
          <w:left w:val="nil"/>
          <w:bottom w:val="nil"/>
          <w:right w:val="nil"/>
          <w:between w:val="nil"/>
        </w:pBdr>
        <w:spacing w:before="11"/>
        <w:rPr>
          <w:color w:val="000000"/>
          <w:sz w:val="24"/>
          <w:szCs w:val="24"/>
        </w:rPr>
      </w:pPr>
    </w:p>
    <w:p w14:paraId="2BC6CC10" w14:textId="77777777" w:rsidR="00231B0C" w:rsidRDefault="008D7880">
      <w:pPr>
        <w:pBdr>
          <w:top w:val="nil"/>
          <w:left w:val="nil"/>
          <w:bottom w:val="nil"/>
          <w:right w:val="nil"/>
          <w:between w:val="nil"/>
        </w:pBdr>
        <w:spacing w:line="360" w:lineRule="auto"/>
        <w:ind w:right="-7"/>
        <w:jc w:val="both"/>
        <w:rPr>
          <w:color w:val="000000"/>
          <w:sz w:val="24"/>
          <w:szCs w:val="24"/>
        </w:rPr>
      </w:pPr>
      <w:r>
        <w:rPr>
          <w:color w:val="000000"/>
          <w:sz w:val="24"/>
          <w:szCs w:val="24"/>
        </w:rPr>
        <w:t xml:space="preserve">L'attivazione dei percorsi di cure palliative non è riservata esclusivamente ai pazienti in fase terminale. Il sistema della ROC intende seguire il modello della </w:t>
      </w:r>
      <w:r>
        <w:rPr>
          <w:i/>
          <w:color w:val="000000"/>
          <w:sz w:val="24"/>
          <w:szCs w:val="24"/>
        </w:rPr>
        <w:t>simultaneous care</w:t>
      </w:r>
      <w:r>
        <w:rPr>
          <w:color w:val="000000"/>
          <w:sz w:val="24"/>
          <w:szCs w:val="24"/>
        </w:rPr>
        <w:t xml:space="preserv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w:t>
      </w:r>
    </w:p>
    <w:p w14:paraId="048F46FA" w14:textId="77777777" w:rsidR="00231B0C" w:rsidRDefault="008D7880">
      <w:pPr>
        <w:pBdr>
          <w:top w:val="nil"/>
          <w:left w:val="nil"/>
          <w:bottom w:val="nil"/>
          <w:right w:val="nil"/>
          <w:between w:val="nil"/>
        </w:pBdr>
        <w:spacing w:before="1" w:line="360" w:lineRule="auto"/>
        <w:ind w:right="-7"/>
        <w:jc w:val="both"/>
        <w:rPr>
          <w:color w:val="000000"/>
          <w:sz w:val="24"/>
          <w:szCs w:val="24"/>
        </w:rPr>
      </w:pPr>
      <w:r>
        <w:rPr>
          <w:color w:val="000000"/>
          <w:sz w:val="24"/>
          <w:szCs w:val="24"/>
        </w:rP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14:paraId="07A28B0A" w14:textId="77777777" w:rsidR="00231B0C" w:rsidRDefault="008D7880">
      <w:pPr>
        <w:pBdr>
          <w:top w:val="nil"/>
          <w:left w:val="nil"/>
          <w:bottom w:val="nil"/>
          <w:right w:val="nil"/>
          <w:between w:val="nil"/>
        </w:pBdr>
        <w:spacing w:line="360" w:lineRule="auto"/>
        <w:ind w:right="-7"/>
        <w:jc w:val="both"/>
        <w:rPr>
          <w:color w:val="000000"/>
          <w:sz w:val="24"/>
          <w:szCs w:val="24"/>
        </w:rPr>
      </w:pPr>
      <w:r>
        <w:rPr>
          <w:color w:val="000000"/>
          <w:sz w:val="24"/>
          <w:szCs w:val="24"/>
        </w:rPr>
        <w:t>I criteri generali per la definizione di malattia terminale sono:</w:t>
      </w:r>
    </w:p>
    <w:p w14:paraId="01BCA42D" w14:textId="77777777" w:rsidR="00231B0C" w:rsidRDefault="008D7880">
      <w:pPr>
        <w:pBdr>
          <w:top w:val="nil"/>
          <w:left w:val="nil"/>
          <w:bottom w:val="nil"/>
          <w:right w:val="nil"/>
          <w:between w:val="nil"/>
        </w:pBdr>
        <w:spacing w:before="137" w:line="360" w:lineRule="auto"/>
        <w:ind w:right="-7"/>
        <w:jc w:val="both"/>
        <w:rPr>
          <w:color w:val="000000"/>
          <w:sz w:val="24"/>
          <w:szCs w:val="24"/>
        </w:rPr>
      </w:pPr>
      <w:r>
        <w:rPr>
          <w:color w:val="000000"/>
          <w:sz w:val="24"/>
          <w:szCs w:val="24"/>
          <w:u w:val="single"/>
        </w:rPr>
        <w:t>Terapeutico</w:t>
      </w:r>
      <w:r>
        <w:rPr>
          <w:color w:val="000000"/>
          <w:sz w:val="24"/>
          <w:szCs w:val="24"/>
        </w:rPr>
        <w:t>: esaurimento/assenza o inutilità delle terapie oncologiche per la cura del tumore, o rifiuto da parte del malato.</w:t>
      </w:r>
    </w:p>
    <w:p w14:paraId="3CF305E6" w14:textId="77777777" w:rsidR="00231B0C" w:rsidRDefault="008D7880">
      <w:pPr>
        <w:pBdr>
          <w:top w:val="nil"/>
          <w:left w:val="nil"/>
          <w:bottom w:val="nil"/>
          <w:right w:val="nil"/>
          <w:between w:val="nil"/>
        </w:pBdr>
        <w:spacing w:before="3" w:line="360" w:lineRule="auto"/>
        <w:ind w:right="-7"/>
        <w:jc w:val="both"/>
        <w:rPr>
          <w:color w:val="000000"/>
          <w:sz w:val="24"/>
          <w:szCs w:val="24"/>
        </w:rPr>
      </w:pPr>
      <w:r>
        <w:rPr>
          <w:color w:val="000000"/>
          <w:sz w:val="24"/>
          <w:szCs w:val="24"/>
          <w:u w:val="single"/>
        </w:rPr>
        <w:t>Clinico</w:t>
      </w:r>
      <w:r>
        <w:rPr>
          <w:color w:val="000000"/>
          <w:sz w:val="24"/>
          <w:szCs w:val="24"/>
        </w:rPr>
        <w:t>: presenza di un quadro clinico che comporta limitazioni dell’autonomia e un frequente bisogno di cure mediche, caratterizzato da un Indice di Karnofsky &lt; 50.</w:t>
      </w:r>
    </w:p>
    <w:p w14:paraId="52362132" w14:textId="77777777" w:rsidR="00231B0C" w:rsidRDefault="008D7880">
      <w:pPr>
        <w:pBdr>
          <w:top w:val="nil"/>
          <w:left w:val="nil"/>
          <w:bottom w:val="nil"/>
          <w:right w:val="nil"/>
          <w:between w:val="nil"/>
        </w:pBdr>
        <w:spacing w:line="360" w:lineRule="auto"/>
        <w:ind w:right="-7"/>
        <w:jc w:val="both"/>
        <w:rPr>
          <w:color w:val="000000"/>
          <w:sz w:val="24"/>
          <w:szCs w:val="24"/>
        </w:rPr>
      </w:pPr>
      <w:r>
        <w:rPr>
          <w:color w:val="000000"/>
          <w:sz w:val="24"/>
          <w:szCs w:val="24"/>
          <w:u w:val="single"/>
        </w:rPr>
        <w:t>Prognostico</w:t>
      </w:r>
      <w:r>
        <w:rPr>
          <w:color w:val="000000"/>
          <w:sz w:val="24"/>
          <w:szCs w:val="24"/>
        </w:rPr>
        <w:t>: previsione di sopravvivenza &lt; 6 mesi</w:t>
      </w:r>
    </w:p>
    <w:p w14:paraId="01A46771" w14:textId="77777777" w:rsidR="00231B0C" w:rsidRDefault="008D7880">
      <w:pPr>
        <w:pBdr>
          <w:top w:val="nil"/>
          <w:left w:val="nil"/>
          <w:bottom w:val="nil"/>
          <w:right w:val="nil"/>
          <w:between w:val="nil"/>
        </w:pBdr>
        <w:spacing w:line="360" w:lineRule="auto"/>
        <w:ind w:right="-7"/>
        <w:jc w:val="both"/>
        <w:rPr>
          <w:color w:val="000000"/>
          <w:sz w:val="24"/>
          <w:szCs w:val="24"/>
        </w:rPr>
      </w:pPr>
      <w:r>
        <w:rPr>
          <w:color w:val="000000"/>
          <w:sz w:val="24"/>
          <w:szCs w:val="24"/>
        </w:rPr>
        <w:t>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w:t>
      </w:r>
    </w:p>
    <w:p w14:paraId="5659839E" w14:textId="77BB723A" w:rsidR="00AA14AB" w:rsidRDefault="008D7880" w:rsidP="00AA14AB">
      <w:pPr>
        <w:pBdr>
          <w:top w:val="nil"/>
          <w:left w:val="nil"/>
          <w:bottom w:val="nil"/>
          <w:right w:val="nil"/>
          <w:between w:val="nil"/>
        </w:pBdr>
        <w:spacing w:before="1" w:line="360" w:lineRule="auto"/>
        <w:ind w:right="-7"/>
        <w:rPr>
          <w:b/>
          <w:color w:val="000000"/>
          <w:sz w:val="24"/>
          <w:szCs w:val="24"/>
        </w:rPr>
      </w:pPr>
      <w:r>
        <w:rPr>
          <w:color w:val="000000"/>
          <w:sz w:val="24"/>
          <w:szCs w:val="24"/>
        </w:rPr>
        <w:t>Per il presente PDTA si è tenuto conto delle più recenti linee guida nazionali (AIOM) ed Internazionali (ESMO, NCCN).</w:t>
      </w:r>
      <w:r w:rsidR="00AA14AB">
        <w:rPr>
          <w:color w:val="000000"/>
          <w:sz w:val="24"/>
          <w:szCs w:val="24"/>
        </w:rPr>
        <w:t xml:space="preserve">  </w:t>
      </w:r>
    </w:p>
    <w:p w14:paraId="131BF560" w14:textId="77777777" w:rsidR="00AA14AB" w:rsidRDefault="00AA14AB" w:rsidP="00AA14AB">
      <w:pPr>
        <w:pBdr>
          <w:top w:val="nil"/>
          <w:left w:val="nil"/>
          <w:bottom w:val="nil"/>
          <w:right w:val="nil"/>
          <w:between w:val="nil"/>
        </w:pBdr>
        <w:spacing w:before="1" w:line="360" w:lineRule="auto"/>
        <w:ind w:right="-7"/>
        <w:rPr>
          <w:b/>
          <w:color w:val="000000"/>
          <w:sz w:val="24"/>
          <w:szCs w:val="24"/>
        </w:rPr>
      </w:pPr>
    </w:p>
    <w:p w14:paraId="37D4D986" w14:textId="77777777" w:rsidR="00AA14AB" w:rsidRDefault="00AA14AB" w:rsidP="00AA14AB">
      <w:pPr>
        <w:pBdr>
          <w:top w:val="nil"/>
          <w:left w:val="nil"/>
          <w:bottom w:val="nil"/>
          <w:right w:val="nil"/>
          <w:between w:val="nil"/>
        </w:pBdr>
        <w:spacing w:before="1" w:line="360" w:lineRule="auto"/>
        <w:ind w:right="-7"/>
        <w:rPr>
          <w:b/>
          <w:color w:val="000000"/>
          <w:sz w:val="24"/>
          <w:szCs w:val="24"/>
        </w:rPr>
      </w:pPr>
    </w:p>
    <w:p w14:paraId="5B05C8C3" w14:textId="2A7A7B31" w:rsidR="00231B0C" w:rsidRDefault="008D7880" w:rsidP="00425A04">
      <w:pPr>
        <w:pBdr>
          <w:top w:val="nil"/>
          <w:left w:val="nil"/>
          <w:bottom w:val="nil"/>
          <w:right w:val="nil"/>
          <w:between w:val="nil"/>
        </w:pBdr>
        <w:spacing w:before="1" w:line="360" w:lineRule="auto"/>
        <w:ind w:right="-7"/>
        <w:rPr>
          <w:color w:val="000000"/>
          <w:sz w:val="24"/>
          <w:szCs w:val="24"/>
        </w:rPr>
      </w:pPr>
      <w:r>
        <w:rPr>
          <w:b/>
          <w:color w:val="000000"/>
          <w:sz w:val="24"/>
          <w:szCs w:val="24"/>
        </w:rPr>
        <w:t>Attivazione Hospice - piattaforma ROC</w:t>
      </w:r>
    </w:p>
    <w:p w14:paraId="2E994C66"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Il case manager su indicazione medica può richiedere l’attivazione dell’Hospice tramite la piattaforma ROC.  La richiesta è rivolta non solo ai pazienti in ricovero ordinario ma anche ai pazienti day hospital ed ambulatoriali. La richiesta viene valutata e confermata dal Centro delle Cure palliative dell’ASL del paziente così da procedere entro 48 ore successive al ricovero presso un Hospice pubblico o convenzionato della stessa ASL. In caso in cui non c’è disponibilità di Hospice nell’ASL </w:t>
      </w:r>
      <w:r>
        <w:rPr>
          <w:color w:val="000000"/>
          <w:sz w:val="24"/>
          <w:szCs w:val="24"/>
        </w:rPr>
        <w:lastRenderedPageBreak/>
        <w:t xml:space="preserve">del paziente, l’ASL si fa carico del paziente ed entro 48 ore successive programma il ricovero presso un Hospice pubblico o convenzionato di un’altra ASL.  </w:t>
      </w:r>
    </w:p>
    <w:p w14:paraId="4A14BC32" w14:textId="77777777" w:rsidR="00231B0C" w:rsidRDefault="00231B0C">
      <w:pPr>
        <w:pBdr>
          <w:top w:val="nil"/>
          <w:left w:val="nil"/>
          <w:bottom w:val="nil"/>
          <w:right w:val="nil"/>
          <w:between w:val="nil"/>
        </w:pBdr>
        <w:spacing w:line="360" w:lineRule="auto"/>
        <w:jc w:val="both"/>
        <w:rPr>
          <w:color w:val="000000"/>
          <w:sz w:val="24"/>
          <w:szCs w:val="24"/>
        </w:rPr>
      </w:pPr>
    </w:p>
    <w:p w14:paraId="1884AD86" w14:textId="77777777" w:rsidR="00231B0C" w:rsidRDefault="008D7880">
      <w:pPr>
        <w:pBdr>
          <w:top w:val="nil"/>
          <w:left w:val="nil"/>
          <w:bottom w:val="nil"/>
          <w:right w:val="nil"/>
          <w:between w:val="nil"/>
        </w:pBdr>
        <w:spacing w:line="360" w:lineRule="auto"/>
        <w:jc w:val="both"/>
        <w:rPr>
          <w:color w:val="000000"/>
          <w:sz w:val="24"/>
          <w:szCs w:val="24"/>
        </w:rPr>
      </w:pPr>
      <w:r>
        <w:rPr>
          <w:noProof/>
          <w:color w:val="000000"/>
          <w:sz w:val="24"/>
          <w:szCs w:val="24"/>
        </w:rPr>
        <w:drawing>
          <wp:inline distT="0" distB="0" distL="114300" distR="114300" wp14:anchorId="3C403401" wp14:editId="0617D705">
            <wp:extent cx="6118225" cy="437007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6118225" cy="4370070"/>
                    </a:xfrm>
                    <a:prstGeom prst="rect">
                      <a:avLst/>
                    </a:prstGeom>
                    <a:ln/>
                  </pic:spPr>
                </pic:pic>
              </a:graphicData>
            </a:graphic>
          </wp:inline>
        </w:drawing>
      </w:r>
    </w:p>
    <w:p w14:paraId="35019B9D"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9BB96C7"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4C94015F"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65057260"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D01B70D"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65D82FF5" w14:textId="17187BD6"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215377D1" w14:textId="1A2853D0" w:rsidR="0022386E" w:rsidRDefault="0022386E">
      <w:pPr>
        <w:pBdr>
          <w:top w:val="nil"/>
          <w:left w:val="nil"/>
          <w:bottom w:val="nil"/>
          <w:right w:val="nil"/>
          <w:between w:val="nil"/>
        </w:pBdr>
        <w:tabs>
          <w:tab w:val="left" w:pos="1055"/>
        </w:tabs>
        <w:spacing w:line="360" w:lineRule="auto"/>
        <w:jc w:val="both"/>
        <w:rPr>
          <w:color w:val="000000"/>
          <w:sz w:val="24"/>
          <w:szCs w:val="24"/>
        </w:rPr>
      </w:pPr>
    </w:p>
    <w:p w14:paraId="1823FF99" w14:textId="38114A6D" w:rsidR="0022386E" w:rsidRDefault="0022386E">
      <w:pPr>
        <w:pBdr>
          <w:top w:val="nil"/>
          <w:left w:val="nil"/>
          <w:bottom w:val="nil"/>
          <w:right w:val="nil"/>
          <w:between w:val="nil"/>
        </w:pBdr>
        <w:tabs>
          <w:tab w:val="left" w:pos="1055"/>
        </w:tabs>
        <w:spacing w:line="360" w:lineRule="auto"/>
        <w:jc w:val="both"/>
        <w:rPr>
          <w:color w:val="000000"/>
          <w:sz w:val="24"/>
          <w:szCs w:val="24"/>
        </w:rPr>
      </w:pPr>
    </w:p>
    <w:p w14:paraId="0A611A22" w14:textId="4A34385B" w:rsidR="0022386E" w:rsidRDefault="0022386E">
      <w:pPr>
        <w:pBdr>
          <w:top w:val="nil"/>
          <w:left w:val="nil"/>
          <w:bottom w:val="nil"/>
          <w:right w:val="nil"/>
          <w:between w:val="nil"/>
        </w:pBdr>
        <w:tabs>
          <w:tab w:val="left" w:pos="1055"/>
        </w:tabs>
        <w:spacing w:line="360" w:lineRule="auto"/>
        <w:jc w:val="both"/>
        <w:rPr>
          <w:color w:val="000000"/>
          <w:sz w:val="24"/>
          <w:szCs w:val="24"/>
        </w:rPr>
      </w:pPr>
    </w:p>
    <w:p w14:paraId="5062E921" w14:textId="7D966A4E" w:rsidR="0022386E" w:rsidRDefault="0022386E">
      <w:pPr>
        <w:pBdr>
          <w:top w:val="nil"/>
          <w:left w:val="nil"/>
          <w:bottom w:val="nil"/>
          <w:right w:val="nil"/>
          <w:between w:val="nil"/>
        </w:pBdr>
        <w:tabs>
          <w:tab w:val="left" w:pos="1055"/>
        </w:tabs>
        <w:spacing w:line="360" w:lineRule="auto"/>
        <w:jc w:val="both"/>
        <w:rPr>
          <w:color w:val="000000"/>
          <w:sz w:val="24"/>
          <w:szCs w:val="24"/>
        </w:rPr>
      </w:pPr>
    </w:p>
    <w:p w14:paraId="0E7931F1" w14:textId="5A7DAAEA" w:rsidR="0022386E" w:rsidRDefault="0022386E">
      <w:pPr>
        <w:pBdr>
          <w:top w:val="nil"/>
          <w:left w:val="nil"/>
          <w:bottom w:val="nil"/>
          <w:right w:val="nil"/>
          <w:between w:val="nil"/>
        </w:pBdr>
        <w:tabs>
          <w:tab w:val="left" w:pos="1055"/>
        </w:tabs>
        <w:spacing w:line="360" w:lineRule="auto"/>
        <w:jc w:val="both"/>
        <w:rPr>
          <w:color w:val="000000"/>
          <w:sz w:val="24"/>
          <w:szCs w:val="24"/>
        </w:rPr>
      </w:pPr>
    </w:p>
    <w:p w14:paraId="2212ADF9" w14:textId="41A8F090" w:rsidR="0022386E" w:rsidRDefault="0022386E">
      <w:pPr>
        <w:pBdr>
          <w:top w:val="nil"/>
          <w:left w:val="nil"/>
          <w:bottom w:val="nil"/>
          <w:right w:val="nil"/>
          <w:between w:val="nil"/>
        </w:pBdr>
        <w:tabs>
          <w:tab w:val="left" w:pos="1055"/>
        </w:tabs>
        <w:spacing w:line="360" w:lineRule="auto"/>
        <w:jc w:val="both"/>
        <w:rPr>
          <w:color w:val="000000"/>
          <w:sz w:val="24"/>
          <w:szCs w:val="24"/>
        </w:rPr>
      </w:pPr>
    </w:p>
    <w:p w14:paraId="0921AC9E" w14:textId="77777777" w:rsidR="0022386E" w:rsidRDefault="0022386E">
      <w:pPr>
        <w:pBdr>
          <w:top w:val="nil"/>
          <w:left w:val="nil"/>
          <w:bottom w:val="nil"/>
          <w:right w:val="nil"/>
          <w:between w:val="nil"/>
        </w:pBdr>
        <w:tabs>
          <w:tab w:val="left" w:pos="1055"/>
        </w:tabs>
        <w:spacing w:line="360" w:lineRule="auto"/>
        <w:jc w:val="both"/>
        <w:rPr>
          <w:color w:val="000000"/>
          <w:sz w:val="24"/>
          <w:szCs w:val="24"/>
        </w:rPr>
      </w:pPr>
    </w:p>
    <w:p w14:paraId="31B4B9B9"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7D45C160" w14:textId="77777777" w:rsidR="00231B0C" w:rsidRDefault="008D7880">
      <w:pPr>
        <w:pBdr>
          <w:top w:val="nil"/>
          <w:left w:val="nil"/>
          <w:bottom w:val="nil"/>
          <w:right w:val="nil"/>
          <w:between w:val="nil"/>
        </w:pBdr>
        <w:tabs>
          <w:tab w:val="left" w:pos="1055"/>
        </w:tabs>
        <w:spacing w:line="360" w:lineRule="auto"/>
        <w:jc w:val="both"/>
        <w:rPr>
          <w:color w:val="000000"/>
          <w:sz w:val="24"/>
          <w:szCs w:val="24"/>
        </w:rPr>
      </w:pPr>
      <w:r>
        <w:rPr>
          <w:b/>
          <w:color w:val="000000"/>
          <w:sz w:val="24"/>
          <w:szCs w:val="24"/>
        </w:rPr>
        <w:lastRenderedPageBreak/>
        <w:t>Procedura generale di funzionamento dei GOM</w:t>
      </w:r>
    </w:p>
    <w:p w14:paraId="7818718A"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5CC8AA1A" w14:textId="77777777" w:rsidR="00231B0C" w:rsidRDefault="008D7880">
      <w:pPr>
        <w:pBdr>
          <w:top w:val="nil"/>
          <w:left w:val="nil"/>
          <w:bottom w:val="nil"/>
          <w:right w:val="nil"/>
          <w:between w:val="nil"/>
        </w:pBdr>
        <w:spacing w:line="360" w:lineRule="auto"/>
        <w:ind w:right="226"/>
        <w:jc w:val="both"/>
        <w:rPr>
          <w:color w:val="000000"/>
          <w:sz w:val="24"/>
          <w:szCs w:val="24"/>
        </w:rPr>
      </w:pPr>
      <w:r>
        <w:rPr>
          <w:b/>
          <w:color w:val="000000"/>
          <w:sz w:val="24"/>
          <w:szCs w:val="24"/>
        </w:rPr>
        <w:t>Le attività del GOM</w:t>
      </w:r>
      <w:r>
        <w:rPr>
          <w:color w:val="000000"/>
          <w:sz w:val="24"/>
          <w:szCs w:val="24"/>
        </w:rPr>
        <w:tab/>
      </w:r>
    </w:p>
    <w:p w14:paraId="193281BD"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14:paraId="41A7DE6A"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(DD n 626 del 29/09/2023 della Regione Campania). </w:t>
      </w:r>
    </w:p>
    <w:p w14:paraId="600C6F88"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I pazienti che vengono discussi sono coloro che hanno una neoplasia con prima diagnosi o con sospetto diagnostico o che necessitano di ulteriori valutazioni nel corso dell’iter terapeutico.</w:t>
      </w:r>
    </w:p>
    <w:p w14:paraId="581FAB3E"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 xml:space="preserve">I GOM creano percorsi dedicati per i pazienti GOM che necessitano di valutazione diagnostica al fine di scegliere in breve tempo la miglior indicazione diagnostica-terapeutica.  </w:t>
      </w:r>
    </w:p>
    <w:p w14:paraId="51F94682"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 xml:space="preserve">Tra le varie attività del case manager su indicazione medica è possibile attivare l’Assistenza Domiciliare Integrata nelle fasi successive. </w:t>
      </w:r>
    </w:p>
    <w:p w14:paraId="6312D306" w14:textId="77777777" w:rsidR="00231B0C" w:rsidRDefault="00231B0C">
      <w:pPr>
        <w:pBdr>
          <w:top w:val="nil"/>
          <w:left w:val="nil"/>
          <w:bottom w:val="nil"/>
          <w:right w:val="nil"/>
          <w:between w:val="nil"/>
        </w:pBdr>
        <w:spacing w:line="360" w:lineRule="auto"/>
        <w:ind w:right="226"/>
        <w:jc w:val="both"/>
        <w:rPr>
          <w:color w:val="000000"/>
          <w:sz w:val="24"/>
          <w:szCs w:val="24"/>
        </w:rPr>
      </w:pPr>
    </w:p>
    <w:p w14:paraId="6436794D" w14:textId="77777777" w:rsidR="00231B0C" w:rsidRDefault="008D7880">
      <w:pPr>
        <w:pBdr>
          <w:top w:val="nil"/>
          <w:left w:val="nil"/>
          <w:bottom w:val="nil"/>
          <w:right w:val="nil"/>
          <w:between w:val="nil"/>
        </w:pBdr>
        <w:spacing w:line="360" w:lineRule="auto"/>
        <w:ind w:right="226"/>
        <w:jc w:val="both"/>
        <w:rPr>
          <w:color w:val="000000"/>
          <w:sz w:val="24"/>
          <w:szCs w:val="24"/>
        </w:rPr>
      </w:pPr>
      <w:r>
        <w:rPr>
          <w:b/>
          <w:color w:val="000000"/>
          <w:sz w:val="24"/>
          <w:szCs w:val="24"/>
        </w:rPr>
        <w:t xml:space="preserve"> Percorso diagnostico per alcuni GOM</w:t>
      </w:r>
    </w:p>
    <w:p w14:paraId="18D85CEF"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Alcuni GOM hanno organizzato degli slot per prestazioni diagnostiche ambulatoriali (con impegnativa) per i pazienti in valutazione GOM.</w:t>
      </w:r>
    </w:p>
    <w:p w14:paraId="3F720E1F"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Le richieste vanno fatte solo dai case manager. Il case manager riceve la data e avverte il paziente. La responsabilità delle richieste è del responsabile del GOM.</w:t>
      </w:r>
    </w:p>
    <w:p w14:paraId="1594982D" w14:textId="77777777" w:rsidR="00231B0C" w:rsidRDefault="00231B0C">
      <w:pPr>
        <w:pBdr>
          <w:top w:val="nil"/>
          <w:left w:val="nil"/>
          <w:bottom w:val="nil"/>
          <w:right w:val="nil"/>
          <w:between w:val="nil"/>
        </w:pBdr>
        <w:spacing w:line="360" w:lineRule="auto"/>
        <w:ind w:right="226"/>
        <w:jc w:val="both"/>
        <w:rPr>
          <w:color w:val="000000"/>
          <w:sz w:val="24"/>
          <w:szCs w:val="24"/>
        </w:rPr>
      </w:pPr>
    </w:p>
    <w:p w14:paraId="009EB2D2" w14:textId="77777777" w:rsidR="00231B0C" w:rsidRDefault="008D7880">
      <w:pPr>
        <w:pBdr>
          <w:top w:val="nil"/>
          <w:left w:val="nil"/>
          <w:bottom w:val="nil"/>
          <w:right w:val="nil"/>
          <w:between w:val="nil"/>
        </w:pBdr>
        <w:spacing w:line="360" w:lineRule="auto"/>
        <w:ind w:right="226"/>
        <w:jc w:val="both"/>
        <w:rPr>
          <w:color w:val="000000"/>
          <w:sz w:val="24"/>
          <w:szCs w:val="24"/>
        </w:rPr>
      </w:pPr>
      <w:r>
        <w:rPr>
          <w:b/>
          <w:color w:val="000000"/>
          <w:sz w:val="24"/>
          <w:szCs w:val="24"/>
        </w:rPr>
        <w:t>Prenotazione diagnostica GOM sulla piattaforma</w:t>
      </w:r>
    </w:p>
    <w:p w14:paraId="633EC5CE"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Il case manager su indicazione medica,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14:paraId="7A374D6B" w14:textId="77777777" w:rsidR="00231B0C" w:rsidRDefault="00231B0C">
      <w:pPr>
        <w:pBdr>
          <w:top w:val="nil"/>
          <w:left w:val="nil"/>
          <w:bottom w:val="nil"/>
          <w:right w:val="nil"/>
          <w:between w:val="nil"/>
        </w:pBdr>
        <w:spacing w:line="360" w:lineRule="auto"/>
        <w:ind w:right="226"/>
        <w:jc w:val="both"/>
        <w:rPr>
          <w:color w:val="000000"/>
          <w:sz w:val="24"/>
          <w:szCs w:val="24"/>
        </w:rPr>
      </w:pPr>
    </w:p>
    <w:p w14:paraId="36A20885" w14:textId="77777777" w:rsidR="00231B0C" w:rsidRDefault="008D7880">
      <w:pPr>
        <w:pBdr>
          <w:top w:val="nil"/>
          <w:left w:val="nil"/>
          <w:bottom w:val="nil"/>
          <w:right w:val="nil"/>
          <w:between w:val="nil"/>
        </w:pBdr>
        <w:spacing w:line="360" w:lineRule="auto"/>
        <w:ind w:right="226"/>
        <w:jc w:val="both"/>
        <w:rPr>
          <w:color w:val="000000"/>
          <w:sz w:val="24"/>
          <w:szCs w:val="24"/>
        </w:rPr>
      </w:pPr>
      <w:r>
        <w:rPr>
          <w:b/>
          <w:color w:val="000000"/>
          <w:sz w:val="24"/>
          <w:szCs w:val="24"/>
        </w:rPr>
        <w:t>Primo contatto con il paziente</w:t>
      </w:r>
    </w:p>
    <w:p w14:paraId="012D9988"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 xml:space="preserve">Come definito per tutta la Rete Oncologica regionale, nel sospetto clinico di patologia oncologica, i pazienti afferiranno perché indirizzati dal proprio medico di Medicina Generale (MMG), da un </w:t>
      </w:r>
      <w:r>
        <w:rPr>
          <w:color w:val="000000"/>
          <w:sz w:val="24"/>
          <w:szCs w:val="24"/>
        </w:rPr>
        <w:lastRenderedPageBreak/>
        <w:t xml:space="preserve">medico di I livello di un centro oncologico di II livello [Centro Oncologico Regionale Polispecialistico (CORP) o Centro Oncologico di Riferimento Polispecialistico Universitario o a carattere Scientifico (CORPUS)] o medico dell’ASL. </w:t>
      </w:r>
    </w:p>
    <w:p w14:paraId="4D67A742"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L’invio del paziente ai GOM può avvenire a seguito di visita da parte di un medico del centro oncologico o direttamente da altri centri o dai medici del territorio. La visita sarà svolta entro sette giorni, Il case manager prenota la visita e avvisa il paziente. Sarà cura del GOM indirizzare il paziente alla fase di percorso diagnostico-terapeutico appropriata, in base alla tipologia di neoplasia ed alla stadiazione.</w:t>
      </w:r>
    </w:p>
    <w:p w14:paraId="1C88794E" w14:textId="77777777" w:rsidR="00231B0C" w:rsidRDefault="00231B0C">
      <w:pPr>
        <w:pBdr>
          <w:top w:val="nil"/>
          <w:left w:val="nil"/>
          <w:bottom w:val="nil"/>
          <w:right w:val="nil"/>
          <w:between w:val="nil"/>
        </w:pBdr>
        <w:spacing w:line="360" w:lineRule="auto"/>
        <w:ind w:right="226"/>
        <w:jc w:val="both"/>
        <w:rPr>
          <w:color w:val="000000"/>
          <w:sz w:val="24"/>
          <w:szCs w:val="24"/>
        </w:rPr>
      </w:pPr>
    </w:p>
    <w:p w14:paraId="3AA25A9C" w14:textId="77777777" w:rsidR="00231B0C" w:rsidRDefault="008D7880">
      <w:pPr>
        <w:keepNext/>
        <w:pBdr>
          <w:top w:val="nil"/>
          <w:left w:val="nil"/>
          <w:bottom w:val="nil"/>
          <w:right w:val="nil"/>
          <w:between w:val="nil"/>
        </w:pBdr>
        <w:spacing w:line="360" w:lineRule="auto"/>
        <w:jc w:val="both"/>
        <w:rPr>
          <w:color w:val="000000"/>
          <w:sz w:val="24"/>
          <w:szCs w:val="24"/>
        </w:rPr>
      </w:pPr>
      <w:r>
        <w:rPr>
          <w:b/>
          <w:color w:val="000000"/>
          <w:sz w:val="24"/>
          <w:szCs w:val="24"/>
        </w:rPr>
        <w:t>Presa in carico del paziente</w:t>
      </w:r>
    </w:p>
    <w:p w14:paraId="017AF222"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 xml:space="preserve">La Presa in Carico del paziente nella sua globalità prevede l’integrazione di più professionisti </w:t>
      </w:r>
    </w:p>
    <w:p w14:paraId="64A7C58F"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14:paraId="1352FC89"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Il paziente effettuerà la prima visita necessaria per l’inquadramento del problema presso un ambulatorio dedicato entro 7 giorni dalla segnalazione.</w:t>
      </w:r>
    </w:p>
    <w:p w14:paraId="71AEBCD4" w14:textId="77777777" w:rsidR="00231B0C" w:rsidRDefault="00231B0C">
      <w:pPr>
        <w:pBdr>
          <w:top w:val="nil"/>
          <w:left w:val="nil"/>
          <w:bottom w:val="nil"/>
          <w:right w:val="nil"/>
          <w:between w:val="nil"/>
        </w:pBdr>
        <w:spacing w:line="360" w:lineRule="auto"/>
        <w:ind w:right="226"/>
        <w:jc w:val="both"/>
        <w:rPr>
          <w:color w:val="000000"/>
          <w:sz w:val="24"/>
          <w:szCs w:val="24"/>
        </w:rPr>
      </w:pPr>
    </w:p>
    <w:p w14:paraId="578EFF89" w14:textId="77777777" w:rsidR="00231B0C" w:rsidRDefault="008D7880">
      <w:pPr>
        <w:keepNext/>
        <w:pBdr>
          <w:top w:val="nil"/>
          <w:left w:val="nil"/>
          <w:bottom w:val="nil"/>
          <w:right w:val="nil"/>
          <w:between w:val="nil"/>
        </w:pBdr>
        <w:spacing w:line="360" w:lineRule="auto"/>
        <w:jc w:val="both"/>
        <w:rPr>
          <w:color w:val="000000"/>
          <w:sz w:val="24"/>
          <w:szCs w:val="24"/>
        </w:rPr>
      </w:pPr>
      <w:r>
        <w:rPr>
          <w:b/>
          <w:color w:val="000000"/>
          <w:sz w:val="24"/>
          <w:szCs w:val="24"/>
        </w:rPr>
        <w:t>La riunione multidisciplinare</w:t>
      </w:r>
    </w:p>
    <w:p w14:paraId="23EE019D"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 xml:space="preserve">La riunione multidisciplinare del GOM avviene in maniera sistematica (una volta a settimana o ogni quindici giorni) e calendarizzata (sempre la stessa ora e giorno della settimana). Il GOM prima della pandemia avveniva raggruppando i membri del Core Team ed il case manager in una stanza adibita per il GOM, ora la discussione avviene in molti casi in maniera telematica </w:t>
      </w:r>
    </w:p>
    <w:p w14:paraId="7CC0AB83" w14:textId="77777777" w:rsidR="00231B0C" w:rsidRDefault="00231B0C">
      <w:pPr>
        <w:pBdr>
          <w:top w:val="nil"/>
          <w:left w:val="nil"/>
          <w:bottom w:val="nil"/>
          <w:right w:val="nil"/>
          <w:between w:val="nil"/>
        </w:pBdr>
        <w:spacing w:line="360" w:lineRule="auto"/>
        <w:ind w:right="226"/>
        <w:jc w:val="both"/>
        <w:rPr>
          <w:color w:val="000000"/>
          <w:sz w:val="24"/>
          <w:szCs w:val="24"/>
        </w:rPr>
      </w:pPr>
    </w:p>
    <w:p w14:paraId="0680CBBC" w14:textId="77777777" w:rsidR="00231B0C" w:rsidRDefault="008D7880">
      <w:pPr>
        <w:keepNext/>
        <w:pBdr>
          <w:top w:val="nil"/>
          <w:left w:val="nil"/>
          <w:bottom w:val="nil"/>
          <w:right w:val="nil"/>
          <w:between w:val="nil"/>
        </w:pBdr>
        <w:spacing w:line="360" w:lineRule="auto"/>
        <w:jc w:val="both"/>
        <w:rPr>
          <w:color w:val="000000"/>
          <w:sz w:val="24"/>
          <w:szCs w:val="24"/>
        </w:rPr>
      </w:pPr>
      <w:r>
        <w:rPr>
          <w:b/>
          <w:color w:val="000000"/>
          <w:sz w:val="24"/>
          <w:szCs w:val="24"/>
        </w:rPr>
        <w:t>Comunicazione al paziente</w:t>
      </w:r>
    </w:p>
    <w:p w14:paraId="1614AA9D" w14:textId="77777777" w:rsidR="00231B0C" w:rsidRDefault="008D7880">
      <w:pPr>
        <w:pBdr>
          <w:top w:val="nil"/>
          <w:left w:val="nil"/>
          <w:bottom w:val="nil"/>
          <w:right w:val="nil"/>
          <w:between w:val="nil"/>
        </w:pBdr>
        <w:spacing w:line="360" w:lineRule="auto"/>
        <w:ind w:right="226"/>
        <w:jc w:val="both"/>
        <w:rPr>
          <w:color w:val="000000"/>
          <w:sz w:val="24"/>
          <w:szCs w:val="24"/>
        </w:rPr>
      </w:pPr>
      <w:r>
        <w:rPr>
          <w:color w:val="000000"/>
          <w:sz w:val="24"/>
          <w:szCs w:val="24"/>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14:paraId="31E20F2B" w14:textId="77777777" w:rsidR="00231B0C" w:rsidRDefault="00231B0C">
      <w:pPr>
        <w:pBdr>
          <w:top w:val="nil"/>
          <w:left w:val="nil"/>
          <w:bottom w:val="nil"/>
          <w:right w:val="nil"/>
          <w:between w:val="nil"/>
        </w:pBdr>
        <w:spacing w:line="360" w:lineRule="auto"/>
        <w:ind w:right="226"/>
        <w:jc w:val="both"/>
        <w:rPr>
          <w:color w:val="000000"/>
          <w:sz w:val="24"/>
          <w:szCs w:val="24"/>
        </w:rPr>
      </w:pPr>
    </w:p>
    <w:p w14:paraId="486CBF0F" w14:textId="77777777" w:rsidR="00231B0C" w:rsidRDefault="008D7880">
      <w:pPr>
        <w:keepNext/>
        <w:pBdr>
          <w:top w:val="nil"/>
          <w:left w:val="nil"/>
          <w:bottom w:val="nil"/>
          <w:right w:val="nil"/>
          <w:between w:val="nil"/>
        </w:pBdr>
        <w:spacing w:line="360" w:lineRule="auto"/>
        <w:jc w:val="both"/>
        <w:rPr>
          <w:color w:val="000000"/>
          <w:sz w:val="24"/>
          <w:szCs w:val="24"/>
        </w:rPr>
      </w:pPr>
      <w:r>
        <w:rPr>
          <w:b/>
          <w:color w:val="000000"/>
          <w:sz w:val="24"/>
          <w:szCs w:val="24"/>
        </w:rPr>
        <w:t>Verbali</w:t>
      </w:r>
    </w:p>
    <w:p w14:paraId="0EEA8582" w14:textId="77777777" w:rsidR="00231B0C" w:rsidRDefault="008D7880">
      <w:pPr>
        <w:pBdr>
          <w:top w:val="nil"/>
          <w:left w:val="nil"/>
          <w:bottom w:val="nil"/>
          <w:right w:val="nil"/>
          <w:between w:val="nil"/>
        </w:pBdr>
        <w:tabs>
          <w:tab w:val="left" w:pos="1006"/>
        </w:tabs>
        <w:spacing w:line="360" w:lineRule="auto"/>
        <w:jc w:val="both"/>
        <w:rPr>
          <w:color w:val="000000"/>
          <w:sz w:val="24"/>
          <w:szCs w:val="24"/>
        </w:rPr>
      </w:pPr>
      <w:r>
        <w:rPr>
          <w:color w:val="000000"/>
          <w:sz w:val="24"/>
          <w:szCs w:val="24"/>
        </w:rPr>
        <w:t xml:space="preserve">Il referto del GOM è un documento che attesta dopo la valutazione del gruppo multidisciplinare la miglior indicazione diagnostico-terapeutica. Il verbale è composto dall’anagrafica, patologie </w:t>
      </w:r>
      <w:r>
        <w:rPr>
          <w:color w:val="000000"/>
          <w:sz w:val="24"/>
          <w:szCs w:val="24"/>
        </w:rPr>
        <w:lastRenderedPageBreak/>
        <w:t xml:space="preserve">concomitanti, terapie in corso ed anamnesi oncologica del paziente compilati dal case-manager o dal medico proponente. Durante il GOM vengono segnalati nel referto le valutazioni, l’indicazione e il programma. Una volta completato il referto con l’effettiva indicazione terapeutica, viene stampato e firmato dai membri che hanno discusso il caso (o per centri che effettuano riunioni telematiche per problematiche COVID viene stampato e firmato dal coordinatore del GOM e dal case-manager). Il case manager dopo la conclusione carica il referto sulla piattaforma della Rete Oncologica Campana per renderli disponibili per i MMG e medici invianti </w:t>
      </w:r>
    </w:p>
    <w:p w14:paraId="561084A6" w14:textId="77777777" w:rsidR="00231B0C" w:rsidRDefault="00231B0C">
      <w:pPr>
        <w:keepNext/>
        <w:pBdr>
          <w:top w:val="nil"/>
          <w:left w:val="nil"/>
          <w:bottom w:val="nil"/>
          <w:right w:val="nil"/>
          <w:between w:val="nil"/>
        </w:pBdr>
        <w:spacing w:line="360" w:lineRule="auto"/>
        <w:ind w:firstLine="708"/>
        <w:jc w:val="both"/>
        <w:rPr>
          <w:color w:val="000000"/>
          <w:sz w:val="24"/>
          <w:szCs w:val="24"/>
        </w:rPr>
      </w:pPr>
    </w:p>
    <w:p w14:paraId="52BDA587" w14:textId="77777777" w:rsidR="00231B0C" w:rsidRDefault="008D7880">
      <w:pPr>
        <w:keepNext/>
        <w:pBdr>
          <w:top w:val="nil"/>
          <w:left w:val="nil"/>
          <w:bottom w:val="nil"/>
          <w:right w:val="nil"/>
          <w:between w:val="nil"/>
        </w:pBdr>
        <w:spacing w:line="360" w:lineRule="auto"/>
        <w:jc w:val="both"/>
        <w:rPr>
          <w:color w:val="000000"/>
          <w:sz w:val="24"/>
          <w:szCs w:val="24"/>
        </w:rPr>
      </w:pPr>
      <w:r>
        <w:rPr>
          <w:b/>
          <w:color w:val="000000"/>
          <w:sz w:val="24"/>
          <w:szCs w:val="24"/>
        </w:rPr>
        <w:t>Chiusura scheda - piattaforma ROC</w:t>
      </w:r>
    </w:p>
    <w:p w14:paraId="508401FC"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14:paraId="734D077F"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Aperta la schermata e selezionata la voce “chiusura” il case manager procede alla compilazione degli indicatori richiesti.</w:t>
      </w:r>
    </w:p>
    <w:p w14:paraId="6D258301"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Visita GOM:</w:t>
      </w:r>
      <w:r>
        <w:rPr>
          <w:color w:val="000000"/>
          <w:sz w:val="24"/>
          <w:szCs w:val="24"/>
        </w:rPr>
        <w:t xml:space="preserve"> si intende la prima discussione multidisciplinare del paziente </w:t>
      </w:r>
    </w:p>
    <w:p w14:paraId="531F9E8B"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Fine stadiazione:</w:t>
      </w:r>
      <w:r>
        <w:rPr>
          <w:color w:val="000000"/>
          <w:sz w:val="24"/>
          <w:szCs w:val="24"/>
        </w:rPr>
        <w:t xml:space="preserve"> si inserisce la data di esami diagnostici richiesti dal GOM, se non sono stati richiesti esami la data della fine stadiazione corrisponde alla data della visita GOM.</w:t>
      </w:r>
    </w:p>
    <w:p w14:paraId="7F122AF6"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Intervento chirurgico:</w:t>
      </w:r>
      <w:r>
        <w:rPr>
          <w:color w:val="000000"/>
          <w:sz w:val="24"/>
          <w:szCs w:val="24"/>
        </w:rPr>
        <w:t xml:space="preserve"> è necessario compilarla solo con i pazienti con indicazione a chirurgia con la data dell’intervento.</w:t>
      </w:r>
    </w:p>
    <w:p w14:paraId="770711DB"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Data completamento</w:t>
      </w:r>
      <w:r>
        <w:rPr>
          <w:color w:val="000000"/>
          <w:sz w:val="24"/>
          <w:szCs w:val="24"/>
        </w:rPr>
        <w:t xml:space="preserve">: è la data dell’ultima visita GOM dove è stata decisa l’indicazione terapeutica. </w:t>
      </w:r>
    </w:p>
    <w:p w14:paraId="6544ED60"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Tipi di completamento</w:t>
      </w:r>
      <w:r>
        <w:rPr>
          <w:color w:val="000000"/>
          <w:sz w:val="24"/>
          <w:szCs w:val="24"/>
        </w:rPr>
        <w:t xml:space="preserve">: bisogna selezionare l’indicazione data tra i campi della piattaforma. Tipi di completamento sono: </w:t>
      </w:r>
      <w:r>
        <w:rPr>
          <w:b/>
          <w:color w:val="000000"/>
          <w:sz w:val="24"/>
          <w:szCs w:val="24"/>
        </w:rPr>
        <w:t xml:space="preserve">Follow-up, Chemio, Radio, Chemio-Radio, Ormonoterapia, Immunoterapia, Target therapy, Chirurgia, Sorveglianza clinico-strumentale, Indicazione al percorso oncogenetico, Non indicazione al percorso oncogenetico, Terapia radiorecettoriale (PRRT) </w:t>
      </w:r>
      <w:r>
        <w:rPr>
          <w:color w:val="000000"/>
          <w:sz w:val="24"/>
          <w:szCs w:val="24"/>
        </w:rPr>
        <w:t>e</w:t>
      </w:r>
      <w:r>
        <w:rPr>
          <w:b/>
          <w:color w:val="000000"/>
          <w:sz w:val="24"/>
          <w:szCs w:val="24"/>
        </w:rPr>
        <w:t xml:space="preserve"> Ormonoterapia/Radioterapia</w:t>
      </w:r>
      <w:r>
        <w:rPr>
          <w:color w:val="000000"/>
          <w:sz w:val="24"/>
          <w:szCs w:val="24"/>
        </w:rPr>
        <w:t>.</w:t>
      </w:r>
    </w:p>
    <w:p w14:paraId="20536E98"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Data di inizio terapia:</w:t>
      </w:r>
      <w:r>
        <w:rPr>
          <w:color w:val="000000"/>
          <w:sz w:val="24"/>
          <w:szCs w:val="24"/>
        </w:rPr>
        <w:t xml:space="preserve"> la data in cui i pazienti inizia il trattamento </w:t>
      </w:r>
    </w:p>
    <w:p w14:paraId="3BC67437"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Data decesso</w:t>
      </w:r>
      <w:r>
        <w:rPr>
          <w:color w:val="000000"/>
          <w:sz w:val="24"/>
          <w:szCs w:val="24"/>
        </w:rPr>
        <w:t>: la data del decesso del paziente avvenuta prima dell’indicazione del GOM.</w:t>
      </w:r>
    </w:p>
    <w:p w14:paraId="47654842"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xml:space="preserve">Deviazioni rispetto alle Linee Guida: </w:t>
      </w:r>
      <w:r>
        <w:rPr>
          <w:color w:val="000000"/>
          <w:sz w:val="24"/>
          <w:szCs w:val="24"/>
        </w:rPr>
        <w:t xml:space="preserve">il GOM da indicazione che differisce dalle normali linee guida (es. per età avanzata, comorbilità ecc)  </w:t>
      </w:r>
    </w:p>
    <w:p w14:paraId="1391E37F"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 xml:space="preserve">Fuori Rete Regionale: </w:t>
      </w:r>
      <w:r>
        <w:rPr>
          <w:color w:val="000000"/>
          <w:sz w:val="24"/>
          <w:szCs w:val="24"/>
        </w:rPr>
        <w:t xml:space="preserve">il paziente vuole essere seguito extra-regione </w:t>
      </w:r>
    </w:p>
    <w:p w14:paraId="5ED1389B" w14:textId="77777777" w:rsidR="00231B0C" w:rsidRDefault="008D7880">
      <w:pPr>
        <w:pBdr>
          <w:top w:val="nil"/>
          <w:left w:val="nil"/>
          <w:bottom w:val="nil"/>
          <w:right w:val="nil"/>
          <w:between w:val="nil"/>
        </w:pBdr>
        <w:spacing w:line="360" w:lineRule="auto"/>
        <w:jc w:val="both"/>
        <w:rPr>
          <w:color w:val="000000"/>
          <w:sz w:val="24"/>
          <w:szCs w:val="24"/>
        </w:rPr>
      </w:pPr>
      <w:r>
        <w:rPr>
          <w:noProof/>
          <w:color w:val="000000"/>
          <w:sz w:val="24"/>
          <w:szCs w:val="24"/>
        </w:rPr>
        <w:lastRenderedPageBreak/>
        <w:drawing>
          <wp:inline distT="0" distB="0" distL="114300" distR="114300" wp14:anchorId="5BA08753" wp14:editId="387450F2">
            <wp:extent cx="6121400" cy="406146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6121400" cy="4061460"/>
                    </a:xfrm>
                    <a:prstGeom prst="rect">
                      <a:avLst/>
                    </a:prstGeom>
                    <a:ln/>
                  </pic:spPr>
                </pic:pic>
              </a:graphicData>
            </a:graphic>
          </wp:inline>
        </w:drawing>
      </w:r>
    </w:p>
    <w:p w14:paraId="1B75785D" w14:textId="77777777" w:rsidR="00231B0C" w:rsidRDefault="00231B0C">
      <w:pPr>
        <w:pBdr>
          <w:top w:val="nil"/>
          <w:left w:val="nil"/>
          <w:bottom w:val="nil"/>
          <w:right w:val="nil"/>
          <w:between w:val="nil"/>
        </w:pBdr>
        <w:spacing w:line="360" w:lineRule="auto"/>
        <w:jc w:val="both"/>
        <w:rPr>
          <w:color w:val="000000"/>
          <w:sz w:val="24"/>
          <w:szCs w:val="24"/>
        </w:rPr>
      </w:pPr>
    </w:p>
    <w:p w14:paraId="04974A66"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Per chiudere la scheda dopo la compilazione degli indicatori di chiusura, è obbligatorio caricare nella Diagnosi di dimissione il referto della discussione GOM in formato pdf e solo dopo procedere alla chiusura della scheda.  </w:t>
      </w:r>
    </w:p>
    <w:p w14:paraId="3B0DF0E3" w14:textId="77777777" w:rsidR="00231B0C" w:rsidRDefault="00231B0C">
      <w:pPr>
        <w:keepNext/>
        <w:pBdr>
          <w:top w:val="nil"/>
          <w:left w:val="nil"/>
          <w:bottom w:val="nil"/>
          <w:right w:val="nil"/>
          <w:between w:val="nil"/>
        </w:pBdr>
        <w:spacing w:line="360" w:lineRule="auto"/>
        <w:ind w:firstLine="708"/>
        <w:jc w:val="center"/>
        <w:rPr>
          <w:b/>
          <w:color w:val="000000"/>
          <w:sz w:val="24"/>
          <w:szCs w:val="24"/>
        </w:rPr>
      </w:pPr>
    </w:p>
    <w:p w14:paraId="20DF1965" w14:textId="77777777" w:rsidR="00231B0C" w:rsidRDefault="008D7880">
      <w:pPr>
        <w:keepNext/>
        <w:pBdr>
          <w:top w:val="nil"/>
          <w:left w:val="nil"/>
          <w:bottom w:val="nil"/>
          <w:right w:val="nil"/>
          <w:between w:val="nil"/>
        </w:pBdr>
        <w:spacing w:line="360" w:lineRule="auto"/>
        <w:jc w:val="both"/>
        <w:rPr>
          <w:color w:val="000000"/>
          <w:sz w:val="24"/>
          <w:szCs w:val="24"/>
        </w:rPr>
      </w:pPr>
      <w:r>
        <w:rPr>
          <w:b/>
          <w:color w:val="000000"/>
          <w:sz w:val="24"/>
          <w:szCs w:val="24"/>
        </w:rPr>
        <w:t>Continuità territoriale, Attivazione ADI attraverso la piattaforma ROC</w:t>
      </w:r>
    </w:p>
    <w:p w14:paraId="29DE04DF"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14:paraId="456D95EF"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 xml:space="preserve">In accordo con le sette ASL è stata inserita un’unica scheda dei servizi, che include le informazioni cliniche del paziente e le prestazioni richieste, così da facilitare e migliorare la presa in carico del Territorio. </w:t>
      </w:r>
    </w:p>
    <w:p w14:paraId="181DD123"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14:paraId="7C80295E" w14:textId="58C747FC"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Tramite la piattaforma il GOM richiedente ha la possibilità di verificare la effettiva avvenuta presa in carico dal Territorio.  Il MMG inviante al GOM riceverà informativa attraverso la stessa piattaforma.</w:t>
      </w:r>
    </w:p>
    <w:p w14:paraId="5BBFE4B9" w14:textId="77777777" w:rsidR="00231B0C" w:rsidRDefault="008D7880">
      <w:pPr>
        <w:pBdr>
          <w:top w:val="nil"/>
          <w:left w:val="nil"/>
          <w:bottom w:val="nil"/>
          <w:right w:val="nil"/>
          <w:between w:val="nil"/>
        </w:pBdr>
        <w:spacing w:line="360" w:lineRule="auto"/>
        <w:jc w:val="center"/>
        <w:rPr>
          <w:color w:val="000000"/>
          <w:sz w:val="24"/>
          <w:szCs w:val="24"/>
        </w:rPr>
      </w:pPr>
      <w:r>
        <w:rPr>
          <w:noProof/>
          <w:color w:val="000000"/>
          <w:sz w:val="24"/>
          <w:szCs w:val="24"/>
        </w:rPr>
        <w:lastRenderedPageBreak/>
        <w:drawing>
          <wp:inline distT="0" distB="0" distL="114300" distR="114300" wp14:anchorId="61522CED" wp14:editId="28927836">
            <wp:extent cx="5142230" cy="2548890"/>
            <wp:effectExtent l="0" t="0" r="0" b="0"/>
            <wp:docPr id="23" name="image23.png" descr="C:\Users\davide.derrico\Desktop\Cattura.JPG"/>
            <wp:cNvGraphicFramePr/>
            <a:graphic xmlns:a="http://schemas.openxmlformats.org/drawingml/2006/main">
              <a:graphicData uri="http://schemas.openxmlformats.org/drawingml/2006/picture">
                <pic:pic xmlns:pic="http://schemas.openxmlformats.org/drawingml/2006/picture">
                  <pic:nvPicPr>
                    <pic:cNvPr id="0" name="image23.png" descr="C:\Users\davide.derrico\Desktop\Cattura.JPG"/>
                    <pic:cNvPicPr preferRelativeResize="0"/>
                  </pic:nvPicPr>
                  <pic:blipFill>
                    <a:blip r:embed="rId18"/>
                    <a:srcRect/>
                    <a:stretch>
                      <a:fillRect/>
                    </a:stretch>
                  </pic:blipFill>
                  <pic:spPr>
                    <a:xfrm>
                      <a:off x="0" y="0"/>
                      <a:ext cx="5142230" cy="2548890"/>
                    </a:xfrm>
                    <a:prstGeom prst="rect">
                      <a:avLst/>
                    </a:prstGeom>
                    <a:ln/>
                  </pic:spPr>
                </pic:pic>
              </a:graphicData>
            </a:graphic>
          </wp:inline>
        </w:drawing>
      </w:r>
      <w:r>
        <w:rPr>
          <w:noProof/>
          <w:color w:val="000000"/>
          <w:sz w:val="24"/>
          <w:szCs w:val="24"/>
        </w:rPr>
        <w:drawing>
          <wp:inline distT="0" distB="0" distL="114300" distR="114300" wp14:anchorId="161A699D" wp14:editId="0E527625">
            <wp:extent cx="5234940" cy="325501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234940" cy="3255010"/>
                    </a:xfrm>
                    <a:prstGeom prst="rect">
                      <a:avLst/>
                    </a:prstGeom>
                    <a:ln/>
                  </pic:spPr>
                </pic:pic>
              </a:graphicData>
            </a:graphic>
          </wp:inline>
        </w:drawing>
      </w:r>
      <w:r>
        <w:rPr>
          <w:noProof/>
          <w:color w:val="000000"/>
          <w:sz w:val="24"/>
          <w:szCs w:val="24"/>
        </w:rPr>
        <w:drawing>
          <wp:inline distT="0" distB="0" distL="114300" distR="114300" wp14:anchorId="0C8B0F35" wp14:editId="4DD32CB6">
            <wp:extent cx="4734560" cy="298069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4734560" cy="2980690"/>
                    </a:xfrm>
                    <a:prstGeom prst="rect">
                      <a:avLst/>
                    </a:prstGeom>
                    <a:ln/>
                  </pic:spPr>
                </pic:pic>
              </a:graphicData>
            </a:graphic>
          </wp:inline>
        </w:drawing>
      </w:r>
    </w:p>
    <w:p w14:paraId="6BB6647F" w14:textId="77777777" w:rsidR="00231B0C" w:rsidRDefault="00231B0C">
      <w:pPr>
        <w:pBdr>
          <w:top w:val="nil"/>
          <w:left w:val="nil"/>
          <w:bottom w:val="nil"/>
          <w:right w:val="nil"/>
          <w:between w:val="nil"/>
        </w:pBdr>
        <w:spacing w:line="360" w:lineRule="auto"/>
        <w:jc w:val="center"/>
        <w:rPr>
          <w:color w:val="000000"/>
          <w:sz w:val="24"/>
          <w:szCs w:val="24"/>
        </w:rPr>
      </w:pPr>
    </w:p>
    <w:p w14:paraId="4F3A4D6D" w14:textId="77777777" w:rsidR="00231B0C" w:rsidRDefault="008D7880">
      <w:pPr>
        <w:pBdr>
          <w:top w:val="nil"/>
          <w:left w:val="nil"/>
          <w:bottom w:val="nil"/>
          <w:right w:val="nil"/>
          <w:between w:val="nil"/>
        </w:pBdr>
        <w:tabs>
          <w:tab w:val="left" w:pos="1055"/>
        </w:tabs>
        <w:spacing w:line="360" w:lineRule="auto"/>
        <w:jc w:val="center"/>
        <w:rPr>
          <w:color w:val="000000"/>
          <w:sz w:val="24"/>
          <w:szCs w:val="24"/>
        </w:rPr>
      </w:pPr>
      <w:r>
        <w:rPr>
          <w:noProof/>
          <w:color w:val="000000"/>
          <w:sz w:val="24"/>
          <w:szCs w:val="24"/>
        </w:rPr>
        <w:drawing>
          <wp:inline distT="0" distB="0" distL="114300" distR="114300" wp14:anchorId="39670E65" wp14:editId="41A00F15">
            <wp:extent cx="4699000" cy="363728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4699000" cy="3637280"/>
                    </a:xfrm>
                    <a:prstGeom prst="rect">
                      <a:avLst/>
                    </a:prstGeom>
                    <a:ln/>
                  </pic:spPr>
                </pic:pic>
              </a:graphicData>
            </a:graphic>
          </wp:inline>
        </w:drawing>
      </w:r>
      <w:r>
        <w:rPr>
          <w:noProof/>
          <w:color w:val="000000"/>
          <w:sz w:val="24"/>
          <w:szCs w:val="24"/>
        </w:rPr>
        <w:drawing>
          <wp:inline distT="0" distB="0" distL="114300" distR="114300" wp14:anchorId="346F8307" wp14:editId="35027AB0">
            <wp:extent cx="4747895" cy="293624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4747895" cy="2936240"/>
                    </a:xfrm>
                    <a:prstGeom prst="rect">
                      <a:avLst/>
                    </a:prstGeom>
                    <a:ln/>
                  </pic:spPr>
                </pic:pic>
              </a:graphicData>
            </a:graphic>
          </wp:inline>
        </w:drawing>
      </w:r>
    </w:p>
    <w:p w14:paraId="0AB94104" w14:textId="77777777" w:rsidR="00231B0C" w:rsidRDefault="008D7880">
      <w:pPr>
        <w:pBdr>
          <w:top w:val="nil"/>
          <w:left w:val="nil"/>
          <w:bottom w:val="nil"/>
          <w:right w:val="nil"/>
          <w:between w:val="nil"/>
        </w:pBdr>
        <w:jc w:val="center"/>
        <w:rPr>
          <w:color w:val="000000"/>
          <w:sz w:val="24"/>
          <w:szCs w:val="24"/>
        </w:rPr>
      </w:pPr>
      <w:r>
        <w:rPr>
          <w:noProof/>
          <w:color w:val="000000"/>
          <w:sz w:val="24"/>
          <w:szCs w:val="24"/>
        </w:rPr>
        <w:drawing>
          <wp:inline distT="0" distB="0" distL="114300" distR="114300" wp14:anchorId="3B296EEE" wp14:editId="3F9174C1">
            <wp:extent cx="4791075" cy="112458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4791075" cy="1124585"/>
                    </a:xfrm>
                    <a:prstGeom prst="rect">
                      <a:avLst/>
                    </a:prstGeom>
                    <a:ln/>
                  </pic:spPr>
                </pic:pic>
              </a:graphicData>
            </a:graphic>
          </wp:inline>
        </w:drawing>
      </w:r>
    </w:p>
    <w:p w14:paraId="7FFFF7F0"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9D7A8F4"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01794860" w14:textId="77777777" w:rsidR="00231B0C" w:rsidRDefault="00231B0C">
      <w:pPr>
        <w:keepNext/>
        <w:pBdr>
          <w:top w:val="nil"/>
          <w:left w:val="nil"/>
          <w:bottom w:val="nil"/>
          <w:right w:val="nil"/>
          <w:between w:val="nil"/>
        </w:pBdr>
        <w:spacing w:line="360" w:lineRule="auto"/>
        <w:jc w:val="both"/>
        <w:rPr>
          <w:color w:val="000000"/>
          <w:sz w:val="24"/>
          <w:szCs w:val="24"/>
        </w:rPr>
      </w:pPr>
    </w:p>
    <w:p w14:paraId="24DA330A" w14:textId="77777777" w:rsidR="00231B0C" w:rsidRDefault="008D7880">
      <w:pPr>
        <w:keepNext/>
        <w:pBdr>
          <w:top w:val="nil"/>
          <w:left w:val="nil"/>
          <w:bottom w:val="nil"/>
          <w:right w:val="nil"/>
          <w:between w:val="nil"/>
        </w:pBdr>
        <w:spacing w:line="360" w:lineRule="auto"/>
        <w:jc w:val="both"/>
        <w:rPr>
          <w:color w:val="000000"/>
          <w:sz w:val="24"/>
          <w:szCs w:val="24"/>
        </w:rPr>
      </w:pPr>
      <w:r>
        <w:rPr>
          <w:b/>
          <w:color w:val="000000"/>
          <w:sz w:val="24"/>
          <w:szCs w:val="24"/>
        </w:rPr>
        <w:t>Rete Cardioncologca (CardioROC)</w:t>
      </w:r>
    </w:p>
    <w:p w14:paraId="61E4C7E5" w14:textId="77777777" w:rsidR="00231B0C" w:rsidRDefault="008D7880">
      <w:pPr>
        <w:pBdr>
          <w:top w:val="nil"/>
          <w:left w:val="nil"/>
          <w:bottom w:val="nil"/>
          <w:right w:val="nil"/>
          <w:between w:val="nil"/>
        </w:pBdr>
        <w:spacing w:before="132" w:line="360" w:lineRule="auto"/>
        <w:ind w:left="293" w:right="333"/>
        <w:jc w:val="both"/>
        <w:rPr>
          <w:color w:val="000000"/>
          <w:sz w:val="24"/>
          <w:szCs w:val="24"/>
        </w:rPr>
      </w:pPr>
      <w:r>
        <w:rPr>
          <w:color w:val="000000"/>
          <w:sz w:val="24"/>
          <w:szCs w:val="24"/>
        </w:rPr>
        <w:t>Nella piattaforma ROC è stato attivato il servizio di valutazione cardiologica per i pazienti oncologici a grave rischio cardiologico.</w:t>
      </w:r>
    </w:p>
    <w:p w14:paraId="20D5898D" w14:textId="77777777" w:rsidR="00231B0C" w:rsidRDefault="008D7880">
      <w:pPr>
        <w:pBdr>
          <w:top w:val="nil"/>
          <w:left w:val="nil"/>
          <w:bottom w:val="nil"/>
          <w:right w:val="nil"/>
          <w:between w:val="nil"/>
        </w:pBdr>
        <w:spacing w:line="360" w:lineRule="auto"/>
        <w:ind w:left="293" w:right="329"/>
        <w:jc w:val="both"/>
        <w:rPr>
          <w:color w:val="000000"/>
          <w:sz w:val="24"/>
          <w:szCs w:val="24"/>
        </w:rPr>
      </w:pPr>
      <w:r>
        <w:rPr>
          <w:color w:val="000000"/>
          <w:sz w:val="24"/>
          <w:szCs w:val="24"/>
        </w:rPr>
        <w:t>La rete di cardiologi ha ricevuto le credenziali ROC per accedere al nuovo servizio di valutazione. La richiesta di consulenza cardiologica può essere inoltrata dal medico oncologo o case manager del GOM di interesse tramite la compilazione di una scheda (</w:t>
      </w:r>
      <w:r>
        <w:rPr>
          <w:b/>
          <w:color w:val="000000"/>
          <w:sz w:val="24"/>
          <w:szCs w:val="24"/>
        </w:rPr>
        <w:t>Figura 1</w:t>
      </w:r>
      <w:r>
        <w:rPr>
          <w:color w:val="000000"/>
          <w:sz w:val="24"/>
          <w:szCs w:val="24"/>
        </w:rPr>
        <w:t>). Possono essere segnalati solo i pazienti con importanti fattori di rischio cardiovascolare o precedenti eventi cardiovascolari che possono condizionare la scelta del trattamento oncologico.</w:t>
      </w:r>
    </w:p>
    <w:p w14:paraId="3B0AB0DA" w14:textId="77777777" w:rsidR="00231B0C" w:rsidRDefault="008D7880">
      <w:pPr>
        <w:pBdr>
          <w:top w:val="nil"/>
          <w:left w:val="nil"/>
          <w:bottom w:val="nil"/>
          <w:right w:val="nil"/>
          <w:between w:val="nil"/>
        </w:pBdr>
        <w:spacing w:before="2" w:line="360" w:lineRule="auto"/>
        <w:ind w:left="293" w:right="350"/>
        <w:jc w:val="both"/>
        <w:rPr>
          <w:color w:val="000000"/>
          <w:sz w:val="24"/>
          <w:szCs w:val="24"/>
        </w:rPr>
      </w:pPr>
      <w:r>
        <w:rPr>
          <w:color w:val="000000"/>
          <w:sz w:val="24"/>
          <w:szCs w:val="24"/>
        </w:rPr>
        <w:t>Il cardiologo prenderà in carico la scheda del paziente GOM entro sette giorni dalla segnalazione e procederà al consulto cardiologico, compilando la specifica scheda di presa in carico e allegando la propria relazione (</w:t>
      </w:r>
      <w:r>
        <w:rPr>
          <w:b/>
          <w:color w:val="000000"/>
          <w:sz w:val="24"/>
          <w:szCs w:val="24"/>
        </w:rPr>
        <w:t>Figura 2</w:t>
      </w:r>
      <w:r>
        <w:rPr>
          <w:color w:val="000000"/>
          <w:sz w:val="24"/>
          <w:szCs w:val="24"/>
        </w:rPr>
        <w:t>).</w:t>
      </w:r>
    </w:p>
    <w:p w14:paraId="242F71BD" w14:textId="77777777" w:rsidR="00231B0C" w:rsidRDefault="00231B0C">
      <w:pPr>
        <w:pBdr>
          <w:top w:val="nil"/>
          <w:left w:val="nil"/>
          <w:bottom w:val="nil"/>
          <w:right w:val="nil"/>
          <w:between w:val="nil"/>
        </w:pBdr>
        <w:rPr>
          <w:color w:val="000000"/>
          <w:sz w:val="24"/>
          <w:szCs w:val="24"/>
        </w:rPr>
      </w:pPr>
    </w:p>
    <w:p w14:paraId="4B2B31A2" w14:textId="77777777" w:rsidR="00231B0C" w:rsidRDefault="008D7880">
      <w:pPr>
        <w:pBdr>
          <w:top w:val="nil"/>
          <w:left w:val="nil"/>
          <w:bottom w:val="nil"/>
          <w:right w:val="nil"/>
          <w:between w:val="nil"/>
        </w:pBdr>
        <w:spacing w:before="2"/>
        <w:rPr>
          <w:color w:val="000000"/>
          <w:sz w:val="24"/>
          <w:szCs w:val="24"/>
        </w:rPr>
      </w:pPr>
      <w:r>
        <w:rPr>
          <w:noProof/>
        </w:rPr>
        <w:drawing>
          <wp:anchor distT="0" distB="0" distL="0" distR="0" simplePos="0" relativeHeight="251668480" behindDoc="0" locked="0" layoutInCell="1" hidden="0" allowOverlap="1" wp14:anchorId="4A38F737" wp14:editId="0670D06D">
            <wp:simplePos x="0" y="0"/>
            <wp:positionH relativeFrom="column">
              <wp:posOffset>41275</wp:posOffset>
            </wp:positionH>
            <wp:positionV relativeFrom="paragraph">
              <wp:posOffset>175895</wp:posOffset>
            </wp:positionV>
            <wp:extent cx="4666615" cy="3933825"/>
            <wp:effectExtent l="0" t="0" r="0" b="0"/>
            <wp:wrapTopAndBottom distT="0" dist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666615" cy="3933825"/>
                    </a:xfrm>
                    <a:prstGeom prst="rect">
                      <a:avLst/>
                    </a:prstGeom>
                    <a:ln/>
                  </pic:spPr>
                </pic:pic>
              </a:graphicData>
            </a:graphic>
          </wp:anchor>
        </w:drawing>
      </w:r>
    </w:p>
    <w:p w14:paraId="531BE2C0" w14:textId="77777777" w:rsidR="00231B0C" w:rsidRDefault="008D7880">
      <w:pPr>
        <w:pBdr>
          <w:top w:val="nil"/>
          <w:left w:val="nil"/>
          <w:bottom w:val="nil"/>
          <w:right w:val="nil"/>
          <w:between w:val="nil"/>
        </w:pBdr>
        <w:spacing w:line="360" w:lineRule="auto"/>
        <w:ind w:right="329"/>
        <w:jc w:val="both"/>
        <w:rPr>
          <w:color w:val="000000"/>
          <w:sz w:val="24"/>
          <w:szCs w:val="24"/>
        </w:rPr>
      </w:pPr>
      <w:r>
        <w:rPr>
          <w:b/>
          <w:color w:val="000000"/>
          <w:sz w:val="24"/>
          <w:szCs w:val="24"/>
        </w:rPr>
        <w:t>Figura 1</w:t>
      </w:r>
    </w:p>
    <w:p w14:paraId="6FD6C3DA" w14:textId="77777777" w:rsidR="00231B0C" w:rsidRDefault="008D7880">
      <w:pPr>
        <w:pBdr>
          <w:top w:val="nil"/>
          <w:left w:val="nil"/>
          <w:bottom w:val="nil"/>
          <w:right w:val="nil"/>
          <w:between w:val="nil"/>
        </w:pBdr>
        <w:spacing w:line="360" w:lineRule="auto"/>
        <w:ind w:left="293" w:right="329"/>
        <w:jc w:val="both"/>
        <w:rPr>
          <w:color w:val="000000"/>
          <w:sz w:val="24"/>
          <w:szCs w:val="24"/>
        </w:rPr>
      </w:pPr>
      <w:r>
        <w:rPr>
          <w:noProof/>
          <w:color w:val="000000"/>
          <w:sz w:val="24"/>
          <w:szCs w:val="24"/>
        </w:rPr>
        <w:lastRenderedPageBreak/>
        <w:drawing>
          <wp:inline distT="0" distB="0" distL="114300" distR="114300" wp14:anchorId="30F8981A" wp14:editId="4BEFE141">
            <wp:extent cx="4579620" cy="41783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579620" cy="4178300"/>
                    </a:xfrm>
                    <a:prstGeom prst="rect">
                      <a:avLst/>
                    </a:prstGeom>
                    <a:ln/>
                  </pic:spPr>
                </pic:pic>
              </a:graphicData>
            </a:graphic>
          </wp:inline>
        </w:drawing>
      </w:r>
    </w:p>
    <w:p w14:paraId="1D2475D0" w14:textId="77777777" w:rsidR="00231B0C" w:rsidRDefault="008D7880">
      <w:pPr>
        <w:pBdr>
          <w:top w:val="nil"/>
          <w:left w:val="nil"/>
          <w:bottom w:val="nil"/>
          <w:right w:val="nil"/>
          <w:between w:val="nil"/>
        </w:pBdr>
        <w:spacing w:line="360" w:lineRule="auto"/>
        <w:ind w:left="293" w:right="329"/>
        <w:jc w:val="both"/>
        <w:rPr>
          <w:color w:val="000000"/>
          <w:sz w:val="24"/>
          <w:szCs w:val="24"/>
        </w:rPr>
      </w:pPr>
      <w:r>
        <w:rPr>
          <w:b/>
          <w:color w:val="000000"/>
          <w:sz w:val="24"/>
          <w:szCs w:val="24"/>
        </w:rPr>
        <w:t>Figura 2</w:t>
      </w:r>
    </w:p>
    <w:p w14:paraId="1AC86A88"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15AB9F34" w14:textId="77777777" w:rsidR="00231B0C" w:rsidRDefault="008D7880">
      <w:pPr>
        <w:pBdr>
          <w:top w:val="nil"/>
          <w:left w:val="nil"/>
          <w:bottom w:val="nil"/>
          <w:right w:val="nil"/>
          <w:between w:val="nil"/>
        </w:pBdr>
        <w:spacing w:after="160" w:line="360" w:lineRule="auto"/>
        <w:jc w:val="both"/>
        <w:rPr>
          <w:color w:val="000000"/>
          <w:sz w:val="24"/>
          <w:szCs w:val="24"/>
        </w:rPr>
      </w:pPr>
      <w:r>
        <w:rPr>
          <w:b/>
          <w:color w:val="000000"/>
          <w:sz w:val="24"/>
          <w:szCs w:val="24"/>
        </w:rPr>
        <w:t xml:space="preserve">Valutazione per Trial Clinico </w:t>
      </w:r>
    </w:p>
    <w:p w14:paraId="74073F6A" w14:textId="77777777" w:rsidR="00231B0C" w:rsidRDefault="008D7880">
      <w:pPr>
        <w:pBdr>
          <w:top w:val="nil"/>
          <w:left w:val="nil"/>
          <w:bottom w:val="nil"/>
          <w:right w:val="nil"/>
          <w:between w:val="nil"/>
        </w:pBdr>
        <w:tabs>
          <w:tab w:val="left" w:pos="1134"/>
        </w:tabs>
        <w:spacing w:line="360" w:lineRule="auto"/>
        <w:ind w:right="-1"/>
        <w:jc w:val="both"/>
        <w:rPr>
          <w:color w:val="000000"/>
          <w:sz w:val="24"/>
          <w:szCs w:val="24"/>
        </w:rPr>
      </w:pPr>
      <w:r>
        <w:rPr>
          <w:color w:val="000000"/>
          <w:sz w:val="24"/>
          <w:szCs w:val="24"/>
        </w:rPr>
        <w:t xml:space="preserve">Tra gli obiettivi della Rete Oncologica Campana c’è quello di favorire l’inserimento dei pazienti in studi clinici e promuovere in modo sinergico la ricerca e innovazione in campo oncologico e per questo motivo che la piattaforma è stato inserito altro servizio: </w:t>
      </w:r>
      <w:r>
        <w:rPr>
          <w:b/>
          <w:i/>
          <w:color w:val="000000"/>
          <w:sz w:val="24"/>
          <w:szCs w:val="24"/>
        </w:rPr>
        <w:t>Trial Clinico</w:t>
      </w:r>
      <w:r>
        <w:rPr>
          <w:color w:val="000000"/>
          <w:sz w:val="24"/>
          <w:szCs w:val="24"/>
        </w:rPr>
        <w:t>.</w:t>
      </w:r>
    </w:p>
    <w:p w14:paraId="5518C82F" w14:textId="77777777" w:rsidR="00231B0C" w:rsidRDefault="008D7880">
      <w:pPr>
        <w:pBdr>
          <w:top w:val="nil"/>
          <w:left w:val="nil"/>
          <w:bottom w:val="nil"/>
          <w:right w:val="nil"/>
          <w:between w:val="nil"/>
        </w:pBdr>
        <w:tabs>
          <w:tab w:val="left" w:pos="1134"/>
        </w:tabs>
        <w:spacing w:line="360" w:lineRule="auto"/>
        <w:ind w:right="-1"/>
        <w:jc w:val="both"/>
        <w:rPr>
          <w:color w:val="000000"/>
          <w:sz w:val="24"/>
          <w:szCs w:val="24"/>
        </w:rPr>
      </w:pPr>
      <w:r>
        <w:rPr>
          <w:color w:val="000000"/>
          <w:sz w:val="24"/>
          <w:szCs w:val="24"/>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14:paraId="32C48486" w14:textId="77777777" w:rsidR="00231B0C" w:rsidRDefault="008D7880">
      <w:pPr>
        <w:pBdr>
          <w:top w:val="nil"/>
          <w:left w:val="nil"/>
          <w:bottom w:val="nil"/>
          <w:right w:val="nil"/>
          <w:between w:val="nil"/>
        </w:pBdr>
        <w:tabs>
          <w:tab w:val="left" w:pos="1134"/>
        </w:tabs>
        <w:spacing w:line="360" w:lineRule="auto"/>
        <w:ind w:right="-1"/>
        <w:jc w:val="both"/>
        <w:rPr>
          <w:color w:val="000000"/>
          <w:sz w:val="24"/>
          <w:szCs w:val="24"/>
        </w:rPr>
      </w:pPr>
      <w:r>
        <w:rPr>
          <w:color w:val="000000"/>
          <w:sz w:val="24"/>
          <w:szCs w:val="24"/>
        </w:rPr>
        <w:t xml:space="preserve">La richiesta del GOM avviene con la compilazione di una scheda di segnalazione ed allegando il verbale del GOM. </w:t>
      </w:r>
    </w:p>
    <w:p w14:paraId="381CCD2A" w14:textId="77777777" w:rsidR="00231B0C" w:rsidRDefault="008D7880">
      <w:pPr>
        <w:pBdr>
          <w:top w:val="nil"/>
          <w:left w:val="nil"/>
          <w:bottom w:val="nil"/>
          <w:right w:val="nil"/>
          <w:between w:val="nil"/>
        </w:pBdr>
        <w:tabs>
          <w:tab w:val="left" w:pos="1134"/>
        </w:tabs>
        <w:spacing w:line="360" w:lineRule="auto"/>
        <w:ind w:right="-1"/>
        <w:jc w:val="both"/>
        <w:rPr>
          <w:color w:val="000000"/>
          <w:sz w:val="24"/>
          <w:szCs w:val="24"/>
        </w:rPr>
      </w:pPr>
      <w:r>
        <w:rPr>
          <w:color w:val="000000"/>
          <w:sz w:val="24"/>
          <w:szCs w:val="24"/>
        </w:rPr>
        <w:t>Nella scheda i campi richiesti sono:</w:t>
      </w:r>
    </w:p>
    <w:p w14:paraId="43F79ED9" w14:textId="77777777" w:rsidR="00231B0C" w:rsidRDefault="008D7880">
      <w:pPr>
        <w:numPr>
          <w:ilvl w:val="0"/>
          <w:numId w:val="9"/>
        </w:numPr>
        <w:pBdr>
          <w:top w:val="nil"/>
          <w:left w:val="nil"/>
          <w:bottom w:val="nil"/>
          <w:right w:val="nil"/>
          <w:between w:val="nil"/>
        </w:pBdr>
        <w:tabs>
          <w:tab w:val="left" w:pos="1134"/>
        </w:tabs>
        <w:spacing w:after="160" w:line="360" w:lineRule="auto"/>
        <w:ind w:right="-1"/>
        <w:jc w:val="both"/>
        <w:rPr>
          <w:color w:val="000000"/>
          <w:sz w:val="24"/>
          <w:szCs w:val="24"/>
        </w:rPr>
      </w:pPr>
      <w:r>
        <w:rPr>
          <w:b/>
          <w:color w:val="000000"/>
          <w:sz w:val="24"/>
          <w:szCs w:val="24"/>
        </w:rPr>
        <w:t>Il n° linee di trattamento precedenti</w:t>
      </w:r>
    </w:p>
    <w:p w14:paraId="0D95B577" w14:textId="77777777" w:rsidR="00231B0C" w:rsidRDefault="008D7880">
      <w:pPr>
        <w:numPr>
          <w:ilvl w:val="0"/>
          <w:numId w:val="9"/>
        </w:numPr>
        <w:pBdr>
          <w:top w:val="nil"/>
          <w:left w:val="nil"/>
          <w:bottom w:val="nil"/>
          <w:right w:val="nil"/>
          <w:between w:val="nil"/>
        </w:pBdr>
        <w:tabs>
          <w:tab w:val="left" w:pos="1134"/>
        </w:tabs>
        <w:spacing w:after="160" w:line="360" w:lineRule="auto"/>
        <w:ind w:right="-1"/>
        <w:jc w:val="both"/>
        <w:rPr>
          <w:color w:val="000000"/>
          <w:sz w:val="24"/>
          <w:szCs w:val="24"/>
        </w:rPr>
      </w:pPr>
      <w:r>
        <w:rPr>
          <w:b/>
          <w:color w:val="000000"/>
          <w:sz w:val="24"/>
          <w:szCs w:val="24"/>
        </w:rPr>
        <w:lastRenderedPageBreak/>
        <w:t>Le condizioni cliniche del paziente (performance status ECOG)</w:t>
      </w:r>
    </w:p>
    <w:p w14:paraId="435F4669" w14:textId="77777777" w:rsidR="00231B0C" w:rsidRDefault="008D7880">
      <w:pPr>
        <w:numPr>
          <w:ilvl w:val="0"/>
          <w:numId w:val="9"/>
        </w:numPr>
        <w:pBdr>
          <w:top w:val="nil"/>
          <w:left w:val="nil"/>
          <w:bottom w:val="nil"/>
          <w:right w:val="nil"/>
          <w:between w:val="nil"/>
        </w:pBdr>
        <w:tabs>
          <w:tab w:val="left" w:pos="1134"/>
        </w:tabs>
        <w:spacing w:after="160" w:line="360" w:lineRule="auto"/>
        <w:ind w:right="-1"/>
        <w:jc w:val="both"/>
        <w:rPr>
          <w:color w:val="000000"/>
          <w:sz w:val="24"/>
          <w:szCs w:val="24"/>
        </w:rPr>
      </w:pPr>
      <w:r>
        <w:rPr>
          <w:b/>
          <w:color w:val="000000"/>
          <w:sz w:val="24"/>
          <w:szCs w:val="24"/>
        </w:rPr>
        <w:t>Eventuali comorbidità</w:t>
      </w:r>
    </w:p>
    <w:p w14:paraId="391CFC1E" w14:textId="77777777" w:rsidR="00231B0C" w:rsidRDefault="008D7880">
      <w:pPr>
        <w:numPr>
          <w:ilvl w:val="0"/>
          <w:numId w:val="9"/>
        </w:numPr>
        <w:pBdr>
          <w:top w:val="nil"/>
          <w:left w:val="nil"/>
          <w:bottom w:val="nil"/>
          <w:right w:val="nil"/>
          <w:between w:val="nil"/>
        </w:pBdr>
        <w:tabs>
          <w:tab w:val="left" w:pos="1134"/>
        </w:tabs>
        <w:spacing w:after="160" w:line="360" w:lineRule="auto"/>
        <w:ind w:right="-1"/>
        <w:jc w:val="both"/>
        <w:rPr>
          <w:color w:val="000000"/>
          <w:sz w:val="24"/>
          <w:szCs w:val="24"/>
        </w:rPr>
      </w:pPr>
      <w:r>
        <w:rPr>
          <w:b/>
          <w:color w:val="000000"/>
          <w:sz w:val="24"/>
          <w:szCs w:val="24"/>
        </w:rPr>
        <w:t>Candidabile ad una terapia standard.  (il case manager che lo prende in carico per l'eventuale trial, nel caso di impossibilità ad arruolarlo, rinvia il paziente al centro di provenienza.</w:t>
      </w:r>
    </w:p>
    <w:p w14:paraId="2800D9CD" w14:textId="77777777" w:rsidR="00231B0C" w:rsidRDefault="008D7880">
      <w:pPr>
        <w:numPr>
          <w:ilvl w:val="0"/>
          <w:numId w:val="9"/>
        </w:numPr>
        <w:pBdr>
          <w:top w:val="nil"/>
          <w:left w:val="nil"/>
          <w:bottom w:val="nil"/>
          <w:right w:val="nil"/>
          <w:between w:val="nil"/>
        </w:pBdr>
        <w:tabs>
          <w:tab w:val="left" w:pos="1134"/>
        </w:tabs>
        <w:spacing w:after="160" w:line="360" w:lineRule="auto"/>
        <w:ind w:right="-1"/>
        <w:jc w:val="both"/>
        <w:rPr>
          <w:color w:val="000000"/>
          <w:sz w:val="24"/>
          <w:szCs w:val="24"/>
        </w:rPr>
      </w:pPr>
      <w:r>
        <w:rPr>
          <w:b/>
          <w:color w:val="000000"/>
          <w:sz w:val="24"/>
          <w:szCs w:val="24"/>
        </w:rPr>
        <w:t xml:space="preserve">Metastasi cerebrali </w:t>
      </w:r>
    </w:p>
    <w:p w14:paraId="43B04B37" w14:textId="77777777" w:rsidR="00231B0C" w:rsidRDefault="008D7880">
      <w:pPr>
        <w:numPr>
          <w:ilvl w:val="0"/>
          <w:numId w:val="9"/>
        </w:numPr>
        <w:pBdr>
          <w:top w:val="nil"/>
          <w:left w:val="nil"/>
          <w:bottom w:val="nil"/>
          <w:right w:val="nil"/>
          <w:between w:val="nil"/>
        </w:pBdr>
        <w:tabs>
          <w:tab w:val="left" w:pos="1134"/>
        </w:tabs>
        <w:spacing w:after="160" w:line="360" w:lineRule="auto"/>
        <w:ind w:right="-1"/>
        <w:jc w:val="both"/>
        <w:rPr>
          <w:color w:val="000000"/>
          <w:sz w:val="24"/>
          <w:szCs w:val="24"/>
        </w:rPr>
      </w:pPr>
      <w:r>
        <w:rPr>
          <w:b/>
          <w:color w:val="000000"/>
          <w:sz w:val="24"/>
          <w:szCs w:val="24"/>
        </w:rPr>
        <w:t>Disponibile NGS (se è già noto lo stato di MSI e/o altri "target")</w:t>
      </w:r>
    </w:p>
    <w:p w14:paraId="5D424A3B" w14:textId="77777777" w:rsidR="00231B0C" w:rsidRDefault="008D7880">
      <w:pPr>
        <w:pBdr>
          <w:top w:val="nil"/>
          <w:left w:val="nil"/>
          <w:bottom w:val="nil"/>
          <w:right w:val="nil"/>
          <w:between w:val="nil"/>
        </w:pBdr>
        <w:tabs>
          <w:tab w:val="left" w:pos="1134"/>
        </w:tabs>
        <w:spacing w:line="360" w:lineRule="auto"/>
        <w:ind w:right="-1"/>
        <w:jc w:val="both"/>
        <w:rPr>
          <w:color w:val="000000"/>
          <w:sz w:val="24"/>
          <w:szCs w:val="24"/>
        </w:rPr>
      </w:pPr>
      <w:r>
        <w:rPr>
          <w:color w:val="000000"/>
          <w:sz w:val="24"/>
          <w:szCs w:val="24"/>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14:paraId="53269DB0" w14:textId="77777777" w:rsidR="00231B0C" w:rsidRDefault="008D7880">
      <w:pPr>
        <w:pBdr>
          <w:top w:val="nil"/>
          <w:left w:val="nil"/>
          <w:bottom w:val="nil"/>
          <w:right w:val="nil"/>
          <w:between w:val="nil"/>
        </w:pBdr>
        <w:tabs>
          <w:tab w:val="left" w:pos="1134"/>
        </w:tabs>
        <w:spacing w:line="360" w:lineRule="auto"/>
        <w:ind w:right="-1"/>
        <w:jc w:val="both"/>
        <w:rPr>
          <w:color w:val="000000"/>
          <w:sz w:val="24"/>
          <w:szCs w:val="24"/>
        </w:rPr>
      </w:pPr>
      <w:r>
        <w:rPr>
          <w:b/>
          <w:color w:val="000000"/>
          <w:sz w:val="24"/>
          <w:szCs w:val="24"/>
        </w:rPr>
        <w:t xml:space="preserve">I Centri di Fase I </w:t>
      </w:r>
      <w:r>
        <w:rPr>
          <w:color w:val="000000"/>
          <w:sz w:val="24"/>
          <w:szCs w:val="24"/>
        </w:rPr>
        <w:t>sono</w:t>
      </w:r>
      <w:r>
        <w:rPr>
          <w:b/>
          <w:color w:val="000000"/>
          <w:sz w:val="24"/>
          <w:szCs w:val="24"/>
        </w:rPr>
        <w:t>:</w:t>
      </w:r>
      <w:r>
        <w:rPr>
          <w:color w:val="000000"/>
          <w:sz w:val="24"/>
          <w:szCs w:val="24"/>
        </w:rPr>
        <w:t xml:space="preserve"> A.O.U. Federico II, I.N.T. Fondazione G. Pascale e A.O.U. Vanvitelli</w:t>
      </w:r>
    </w:p>
    <w:p w14:paraId="0B7C4421" w14:textId="77777777" w:rsidR="00231B0C" w:rsidRDefault="008D7880">
      <w:pPr>
        <w:pBdr>
          <w:top w:val="nil"/>
          <w:left w:val="nil"/>
          <w:bottom w:val="nil"/>
          <w:right w:val="nil"/>
          <w:between w:val="nil"/>
        </w:pBdr>
        <w:tabs>
          <w:tab w:val="left" w:pos="1134"/>
        </w:tabs>
        <w:spacing w:line="360" w:lineRule="auto"/>
        <w:ind w:right="-1"/>
        <w:jc w:val="both"/>
        <w:rPr>
          <w:color w:val="000000"/>
          <w:sz w:val="24"/>
          <w:szCs w:val="24"/>
        </w:rPr>
      </w:pPr>
      <w:r>
        <w:rPr>
          <w:noProof/>
          <w:color w:val="000000"/>
          <w:sz w:val="24"/>
          <w:szCs w:val="24"/>
        </w:rPr>
        <w:drawing>
          <wp:inline distT="0" distB="0" distL="114300" distR="114300" wp14:anchorId="4CA16336" wp14:editId="6667FE55">
            <wp:extent cx="6117590" cy="4906010"/>
            <wp:effectExtent l="0" t="0" r="0" b="0"/>
            <wp:docPr id="15" name="image10.png" descr="C:\Users\davide.derrico\Desktop\Cattura.JPG"/>
            <wp:cNvGraphicFramePr/>
            <a:graphic xmlns:a="http://schemas.openxmlformats.org/drawingml/2006/main">
              <a:graphicData uri="http://schemas.openxmlformats.org/drawingml/2006/picture">
                <pic:pic xmlns:pic="http://schemas.openxmlformats.org/drawingml/2006/picture">
                  <pic:nvPicPr>
                    <pic:cNvPr id="0" name="image10.png" descr="C:\Users\davide.derrico\Desktop\Cattura.JPG"/>
                    <pic:cNvPicPr preferRelativeResize="0"/>
                  </pic:nvPicPr>
                  <pic:blipFill>
                    <a:blip r:embed="rId26"/>
                    <a:srcRect/>
                    <a:stretch>
                      <a:fillRect/>
                    </a:stretch>
                  </pic:blipFill>
                  <pic:spPr>
                    <a:xfrm>
                      <a:off x="0" y="0"/>
                      <a:ext cx="6117590" cy="4906010"/>
                    </a:xfrm>
                    <a:prstGeom prst="rect">
                      <a:avLst/>
                    </a:prstGeom>
                    <a:ln/>
                  </pic:spPr>
                </pic:pic>
              </a:graphicData>
            </a:graphic>
          </wp:inline>
        </w:drawing>
      </w:r>
    </w:p>
    <w:p w14:paraId="394E5BA3" w14:textId="77777777" w:rsidR="00231B0C" w:rsidRDefault="00231B0C">
      <w:pPr>
        <w:pBdr>
          <w:top w:val="nil"/>
          <w:left w:val="nil"/>
          <w:bottom w:val="nil"/>
          <w:right w:val="nil"/>
          <w:between w:val="nil"/>
        </w:pBdr>
        <w:tabs>
          <w:tab w:val="left" w:pos="1134"/>
        </w:tabs>
        <w:spacing w:line="360" w:lineRule="auto"/>
        <w:ind w:right="-1"/>
        <w:jc w:val="both"/>
        <w:rPr>
          <w:color w:val="000000"/>
          <w:sz w:val="24"/>
          <w:szCs w:val="24"/>
        </w:rPr>
      </w:pPr>
    </w:p>
    <w:p w14:paraId="0E1E5828" w14:textId="77777777" w:rsidR="00231B0C" w:rsidRDefault="00231B0C">
      <w:pPr>
        <w:pBdr>
          <w:top w:val="nil"/>
          <w:left w:val="nil"/>
          <w:bottom w:val="nil"/>
          <w:right w:val="nil"/>
          <w:between w:val="nil"/>
        </w:pBdr>
        <w:spacing w:line="360" w:lineRule="auto"/>
        <w:jc w:val="both"/>
        <w:rPr>
          <w:color w:val="000000"/>
          <w:sz w:val="24"/>
          <w:szCs w:val="24"/>
        </w:rPr>
      </w:pPr>
    </w:p>
    <w:p w14:paraId="3D28A523"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lastRenderedPageBreak/>
        <w:t xml:space="preserve">Valutazione nutrizionale e psico-oncologica </w:t>
      </w:r>
    </w:p>
    <w:p w14:paraId="5B5408CE" w14:textId="77777777" w:rsidR="00231B0C" w:rsidRDefault="008D7880">
      <w:pPr>
        <w:pBdr>
          <w:top w:val="nil"/>
          <w:left w:val="nil"/>
          <w:bottom w:val="nil"/>
          <w:right w:val="nil"/>
          <w:between w:val="nil"/>
        </w:pBdr>
        <w:spacing w:line="360" w:lineRule="auto"/>
        <w:jc w:val="both"/>
        <w:rPr>
          <w:color w:val="000000"/>
          <w:sz w:val="24"/>
          <w:szCs w:val="24"/>
        </w:rPr>
      </w:pPr>
      <w:r>
        <w:rPr>
          <w:color w:val="000000"/>
          <w:sz w:val="24"/>
          <w:szCs w:val="24"/>
        </w:rPr>
        <w:t>La presa in carico dei GOM deve avvenire in maniera olistica includendo anche l’aspetto psico-sociale e nutrizionale. La piattaforma ROC dà la possibilità di inserire nella sezione “allegati” la relazione nutrizionale e psicologica a testimonianza del percorso di screening previsto dai due PDTA specifici.</w:t>
      </w:r>
    </w:p>
    <w:p w14:paraId="41E29F8D" w14:textId="77777777" w:rsidR="00231B0C" w:rsidRDefault="008D7880">
      <w:pPr>
        <w:pBdr>
          <w:top w:val="nil"/>
          <w:left w:val="nil"/>
          <w:bottom w:val="nil"/>
          <w:right w:val="nil"/>
          <w:between w:val="nil"/>
        </w:pBdr>
        <w:spacing w:line="360" w:lineRule="auto"/>
        <w:jc w:val="center"/>
        <w:rPr>
          <w:color w:val="000000"/>
          <w:sz w:val="24"/>
          <w:szCs w:val="24"/>
        </w:rPr>
      </w:pPr>
      <w:r>
        <w:rPr>
          <w:noProof/>
          <w:color w:val="000000"/>
          <w:sz w:val="24"/>
          <w:szCs w:val="24"/>
        </w:rPr>
        <w:drawing>
          <wp:inline distT="0" distB="0" distL="114300" distR="114300" wp14:anchorId="3E94FC6A" wp14:editId="74A439CF">
            <wp:extent cx="5281930" cy="3390900"/>
            <wp:effectExtent l="0" t="0" r="0" b="0"/>
            <wp:docPr id="16" name="image11.png" descr="C:\Users\davide.derrico\Desktop\Cattura.JPG"/>
            <wp:cNvGraphicFramePr/>
            <a:graphic xmlns:a="http://schemas.openxmlformats.org/drawingml/2006/main">
              <a:graphicData uri="http://schemas.openxmlformats.org/drawingml/2006/picture">
                <pic:pic xmlns:pic="http://schemas.openxmlformats.org/drawingml/2006/picture">
                  <pic:nvPicPr>
                    <pic:cNvPr id="0" name="image11.png" descr="C:\Users\davide.derrico\Desktop\Cattura.JPG"/>
                    <pic:cNvPicPr preferRelativeResize="0"/>
                  </pic:nvPicPr>
                  <pic:blipFill>
                    <a:blip r:embed="rId27"/>
                    <a:srcRect/>
                    <a:stretch>
                      <a:fillRect/>
                    </a:stretch>
                  </pic:blipFill>
                  <pic:spPr>
                    <a:xfrm>
                      <a:off x="0" y="0"/>
                      <a:ext cx="5281930" cy="3390900"/>
                    </a:xfrm>
                    <a:prstGeom prst="rect">
                      <a:avLst/>
                    </a:prstGeom>
                    <a:ln/>
                  </pic:spPr>
                </pic:pic>
              </a:graphicData>
            </a:graphic>
          </wp:inline>
        </w:drawing>
      </w:r>
    </w:p>
    <w:p w14:paraId="2E0FC076" w14:textId="77777777" w:rsidR="00231B0C" w:rsidRDefault="008D7880">
      <w:pPr>
        <w:pBdr>
          <w:top w:val="nil"/>
          <w:left w:val="nil"/>
          <w:bottom w:val="nil"/>
          <w:right w:val="nil"/>
          <w:between w:val="nil"/>
        </w:pBdr>
        <w:spacing w:line="360" w:lineRule="auto"/>
        <w:jc w:val="center"/>
        <w:rPr>
          <w:color w:val="000000"/>
          <w:sz w:val="24"/>
          <w:szCs w:val="24"/>
        </w:rPr>
      </w:pPr>
      <w:r>
        <w:rPr>
          <w:noProof/>
          <w:color w:val="000000"/>
          <w:sz w:val="24"/>
          <w:szCs w:val="24"/>
        </w:rPr>
        <w:drawing>
          <wp:inline distT="0" distB="0" distL="114300" distR="114300" wp14:anchorId="5B4AA917" wp14:editId="5A45D0F6">
            <wp:extent cx="5371465" cy="3221355"/>
            <wp:effectExtent l="0" t="0" r="0" b="0"/>
            <wp:docPr id="17" name="image12.png" descr="C:\Users\davide.derrico\Desktop\Cattura.JPG"/>
            <wp:cNvGraphicFramePr/>
            <a:graphic xmlns:a="http://schemas.openxmlformats.org/drawingml/2006/main">
              <a:graphicData uri="http://schemas.openxmlformats.org/drawingml/2006/picture">
                <pic:pic xmlns:pic="http://schemas.openxmlformats.org/drawingml/2006/picture">
                  <pic:nvPicPr>
                    <pic:cNvPr id="0" name="image12.png" descr="C:\Users\davide.derrico\Desktop\Cattura.JPG"/>
                    <pic:cNvPicPr preferRelativeResize="0"/>
                  </pic:nvPicPr>
                  <pic:blipFill>
                    <a:blip r:embed="rId28"/>
                    <a:srcRect/>
                    <a:stretch>
                      <a:fillRect/>
                    </a:stretch>
                  </pic:blipFill>
                  <pic:spPr>
                    <a:xfrm>
                      <a:off x="0" y="0"/>
                      <a:ext cx="5371465" cy="3221355"/>
                    </a:xfrm>
                    <a:prstGeom prst="rect">
                      <a:avLst/>
                    </a:prstGeom>
                    <a:ln/>
                  </pic:spPr>
                </pic:pic>
              </a:graphicData>
            </a:graphic>
          </wp:inline>
        </w:drawing>
      </w:r>
    </w:p>
    <w:p w14:paraId="2D573959" w14:textId="77777777" w:rsidR="00231B0C" w:rsidRDefault="00231B0C">
      <w:pPr>
        <w:pBdr>
          <w:top w:val="nil"/>
          <w:left w:val="nil"/>
          <w:bottom w:val="nil"/>
          <w:right w:val="nil"/>
          <w:between w:val="nil"/>
        </w:pBdr>
        <w:rPr>
          <w:color w:val="000000"/>
          <w:sz w:val="24"/>
          <w:szCs w:val="24"/>
        </w:rPr>
      </w:pPr>
    </w:p>
    <w:p w14:paraId="063FD3F1" w14:textId="77777777" w:rsidR="00231B0C" w:rsidRDefault="00231B0C">
      <w:pPr>
        <w:pBdr>
          <w:top w:val="nil"/>
          <w:left w:val="nil"/>
          <w:bottom w:val="nil"/>
          <w:right w:val="nil"/>
          <w:between w:val="nil"/>
        </w:pBdr>
        <w:rPr>
          <w:color w:val="000000"/>
          <w:sz w:val="24"/>
          <w:szCs w:val="24"/>
        </w:rPr>
      </w:pPr>
    </w:p>
    <w:p w14:paraId="59B27866" w14:textId="77777777" w:rsidR="00231B0C" w:rsidRDefault="00231B0C">
      <w:pPr>
        <w:pBdr>
          <w:top w:val="nil"/>
          <w:left w:val="nil"/>
          <w:bottom w:val="nil"/>
          <w:right w:val="nil"/>
          <w:between w:val="nil"/>
        </w:pBdr>
        <w:rPr>
          <w:color w:val="000000"/>
          <w:sz w:val="24"/>
          <w:szCs w:val="24"/>
        </w:rPr>
      </w:pPr>
    </w:p>
    <w:p w14:paraId="2EC1D592" w14:textId="77777777" w:rsidR="00231B0C" w:rsidRDefault="00231B0C">
      <w:pPr>
        <w:pBdr>
          <w:top w:val="nil"/>
          <w:left w:val="nil"/>
          <w:bottom w:val="nil"/>
          <w:right w:val="nil"/>
          <w:between w:val="nil"/>
        </w:pBdr>
        <w:rPr>
          <w:color w:val="000000"/>
          <w:sz w:val="24"/>
          <w:szCs w:val="24"/>
        </w:rPr>
      </w:pPr>
    </w:p>
    <w:p w14:paraId="5D2B06D2" w14:textId="77777777" w:rsidR="00231B0C" w:rsidRDefault="00231B0C">
      <w:pPr>
        <w:pBdr>
          <w:top w:val="nil"/>
          <w:left w:val="nil"/>
          <w:bottom w:val="nil"/>
          <w:right w:val="nil"/>
          <w:between w:val="nil"/>
        </w:pBdr>
        <w:rPr>
          <w:color w:val="000000"/>
          <w:sz w:val="24"/>
          <w:szCs w:val="24"/>
        </w:rPr>
      </w:pPr>
    </w:p>
    <w:p w14:paraId="56B19CC0" w14:textId="77777777" w:rsidR="00231B0C" w:rsidRDefault="00231B0C">
      <w:pPr>
        <w:pBdr>
          <w:top w:val="nil"/>
          <w:left w:val="nil"/>
          <w:bottom w:val="nil"/>
          <w:right w:val="nil"/>
          <w:between w:val="nil"/>
        </w:pBdr>
        <w:rPr>
          <w:color w:val="000000"/>
          <w:sz w:val="24"/>
          <w:szCs w:val="24"/>
        </w:rPr>
      </w:pPr>
    </w:p>
    <w:p w14:paraId="76D75241"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Ruolo dei Medici di Medina Generale (MMG) nei GOM</w:t>
      </w:r>
    </w:p>
    <w:p w14:paraId="3D7B8605" w14:textId="77777777" w:rsidR="00231B0C" w:rsidRDefault="008D7880">
      <w:pPr>
        <w:pBdr>
          <w:top w:val="nil"/>
          <w:left w:val="nil"/>
          <w:bottom w:val="nil"/>
          <w:right w:val="nil"/>
          <w:between w:val="nil"/>
        </w:pBdr>
        <w:spacing w:before="138" w:line="360" w:lineRule="auto"/>
        <w:ind w:right="335"/>
        <w:jc w:val="both"/>
        <w:rPr>
          <w:color w:val="000000"/>
          <w:sz w:val="24"/>
          <w:szCs w:val="24"/>
        </w:rPr>
      </w:pPr>
      <w:r>
        <w:rPr>
          <w:color w:val="000000"/>
          <w:sz w:val="24"/>
          <w:szCs w:val="24"/>
        </w:rPr>
        <w:t>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14:paraId="46D131C7" w14:textId="77777777" w:rsidR="00231B0C" w:rsidRDefault="008D7880">
      <w:pPr>
        <w:pBdr>
          <w:top w:val="nil"/>
          <w:left w:val="nil"/>
          <w:bottom w:val="nil"/>
          <w:right w:val="nil"/>
          <w:between w:val="nil"/>
        </w:pBdr>
        <w:spacing w:line="360" w:lineRule="auto"/>
        <w:ind w:right="347"/>
        <w:jc w:val="both"/>
        <w:rPr>
          <w:color w:val="000000"/>
          <w:sz w:val="24"/>
          <w:szCs w:val="24"/>
        </w:rPr>
      </w:pPr>
      <w:r>
        <w:rPr>
          <w:color w:val="000000"/>
          <w:sz w:val="24"/>
          <w:szCs w:val="24"/>
        </w:rPr>
        <w:t>Tutti i MMG possono entrare a far parte della Rete Oncologica Campana (ROC) e ottenere le credenziali di accesso alla piattaforma ROC.</w:t>
      </w:r>
    </w:p>
    <w:p w14:paraId="626F6F77" w14:textId="77777777" w:rsidR="00231B0C" w:rsidRDefault="008D7880">
      <w:pPr>
        <w:pBdr>
          <w:top w:val="nil"/>
          <w:left w:val="nil"/>
          <w:bottom w:val="nil"/>
          <w:right w:val="nil"/>
          <w:between w:val="nil"/>
        </w:pBdr>
        <w:spacing w:line="360" w:lineRule="auto"/>
        <w:ind w:right="341"/>
        <w:jc w:val="both"/>
        <w:rPr>
          <w:color w:val="000000"/>
          <w:sz w:val="24"/>
          <w:szCs w:val="24"/>
        </w:rPr>
      </w:pPr>
      <w:r>
        <w:rPr>
          <w:color w:val="000000"/>
          <w:sz w:val="24"/>
          <w:szCs w:val="24"/>
        </w:rPr>
        <w:t>Una volta ottenute le credenziali, essi potranno segnalare nuovi casi ai Gruppi Oncologici Multidisciplinari (GOM) della Rete.</w:t>
      </w:r>
    </w:p>
    <w:p w14:paraId="68140FB4" w14:textId="77777777" w:rsidR="00231B0C" w:rsidRDefault="008D7880">
      <w:pPr>
        <w:pBdr>
          <w:top w:val="nil"/>
          <w:left w:val="nil"/>
          <w:bottom w:val="nil"/>
          <w:right w:val="nil"/>
          <w:between w:val="nil"/>
        </w:pBdr>
        <w:spacing w:before="1" w:line="360" w:lineRule="auto"/>
        <w:ind w:right="341"/>
        <w:jc w:val="both"/>
        <w:rPr>
          <w:color w:val="000000"/>
          <w:sz w:val="24"/>
          <w:szCs w:val="24"/>
        </w:rPr>
      </w:pPr>
      <w:r>
        <w:rPr>
          <w:color w:val="000000"/>
          <w:sz w:val="24"/>
          <w:szCs w:val="24"/>
        </w:rPr>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 a limitare decisamente il ritardo diagnostico e a indirizzare i pazienti verso i centri di riferimento.</w:t>
      </w:r>
    </w:p>
    <w:p w14:paraId="64AB66AC" w14:textId="77777777" w:rsidR="00231B0C" w:rsidRDefault="008D7880">
      <w:pPr>
        <w:pBdr>
          <w:top w:val="nil"/>
          <w:left w:val="nil"/>
          <w:bottom w:val="nil"/>
          <w:right w:val="nil"/>
          <w:between w:val="nil"/>
        </w:pBdr>
        <w:spacing w:before="80" w:line="360" w:lineRule="auto"/>
        <w:ind w:right="348"/>
        <w:jc w:val="both"/>
        <w:rPr>
          <w:color w:val="000000"/>
          <w:sz w:val="24"/>
          <w:szCs w:val="24"/>
        </w:rPr>
      </w:pPr>
      <w:r>
        <w:rPr>
          <w:color w:val="000000"/>
          <w:sz w:val="24"/>
          <w:szCs w:val="24"/>
        </w:rPr>
        <w:t>La presa in carico del paziente viene eseguita dal case manager entro sette giorni dalla segnalazione, ma il MMG può comunque sempre verificare l’avvenuta presa in carico di un proprio assistito attraverso la piattaforma ROC.</w:t>
      </w:r>
    </w:p>
    <w:p w14:paraId="1E8EBF1C" w14:textId="77777777" w:rsidR="00231B0C" w:rsidRDefault="008D7880">
      <w:pPr>
        <w:pBdr>
          <w:top w:val="nil"/>
          <w:left w:val="nil"/>
          <w:bottom w:val="nil"/>
          <w:right w:val="nil"/>
          <w:between w:val="nil"/>
        </w:pBdr>
        <w:spacing w:before="1" w:line="360" w:lineRule="auto"/>
        <w:ind w:right="336"/>
        <w:jc w:val="both"/>
        <w:rPr>
          <w:color w:val="000000"/>
          <w:sz w:val="24"/>
          <w:szCs w:val="24"/>
        </w:rPr>
      </w:pPr>
      <w:r>
        <w:rPr>
          <w:color w:val="000000"/>
          <w:sz w:val="24"/>
          <w:szCs w:val="24"/>
        </w:rPr>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14:paraId="65465ADA" w14:textId="77777777" w:rsidR="00231B0C" w:rsidRDefault="008D7880">
      <w:pPr>
        <w:pBdr>
          <w:top w:val="nil"/>
          <w:left w:val="nil"/>
          <w:bottom w:val="nil"/>
          <w:right w:val="nil"/>
          <w:between w:val="nil"/>
        </w:pBdr>
        <w:spacing w:before="1" w:line="360" w:lineRule="auto"/>
        <w:ind w:right="335"/>
        <w:jc w:val="both"/>
        <w:rPr>
          <w:color w:val="000000"/>
          <w:sz w:val="24"/>
          <w:szCs w:val="24"/>
        </w:rPr>
      </w:pPr>
      <w:r>
        <w:rPr>
          <w:color w:val="000000"/>
          <w:sz w:val="24"/>
          <w:szCs w:val="24"/>
        </w:rPr>
        <w:t>Qualora, però, il MMG non partecipi alla riunione multidisciplinare, può accedere tramite la piattaforma ROC, al verbale del GOM di un paziente segnalato da loro, venendo, pertanto, a conoscenza del percorso diagnostico-terapeutico che un proprio assistito dovrà intraprendere.</w:t>
      </w:r>
    </w:p>
    <w:p w14:paraId="57185A8D" w14:textId="77777777" w:rsidR="00231B0C" w:rsidRDefault="008D7880">
      <w:pPr>
        <w:pBdr>
          <w:top w:val="nil"/>
          <w:left w:val="nil"/>
          <w:bottom w:val="nil"/>
          <w:right w:val="nil"/>
          <w:between w:val="nil"/>
        </w:pBdr>
        <w:spacing w:line="360" w:lineRule="auto"/>
        <w:ind w:right="339"/>
        <w:jc w:val="both"/>
        <w:rPr>
          <w:color w:val="000000"/>
          <w:sz w:val="24"/>
          <w:szCs w:val="24"/>
        </w:rPr>
      </w:pPr>
      <w:r>
        <w:rPr>
          <w:color w:val="000000"/>
          <w:sz w:val="24"/>
          <w:szCs w:val="24"/>
        </w:rPr>
        <w:t>La piattaforma ROC consente al case manager di attivare su indicazione medica l’assistenza domiciliare integrata (ADI). I servizi richiesti vengono presi in carico dall’ ASL e dal Distretto di afferenza del paziente. I MMG possono verificare a questo punto l’avvenuto presa in carico di un loro assistito da parte del territorio.</w:t>
      </w:r>
    </w:p>
    <w:p w14:paraId="5C56A8A4" w14:textId="77777777" w:rsidR="00231B0C" w:rsidRDefault="00231B0C">
      <w:pPr>
        <w:pBdr>
          <w:top w:val="nil"/>
          <w:left w:val="nil"/>
          <w:bottom w:val="nil"/>
          <w:right w:val="nil"/>
          <w:between w:val="nil"/>
        </w:pBdr>
        <w:spacing w:line="360" w:lineRule="auto"/>
        <w:ind w:right="339"/>
        <w:jc w:val="both"/>
        <w:rPr>
          <w:color w:val="000000"/>
          <w:sz w:val="24"/>
          <w:szCs w:val="24"/>
        </w:rPr>
      </w:pPr>
    </w:p>
    <w:p w14:paraId="0390781E" w14:textId="77777777" w:rsidR="00231B0C" w:rsidRDefault="00231B0C">
      <w:pPr>
        <w:pBdr>
          <w:top w:val="nil"/>
          <w:left w:val="nil"/>
          <w:bottom w:val="nil"/>
          <w:right w:val="nil"/>
          <w:between w:val="nil"/>
        </w:pBdr>
        <w:spacing w:line="360" w:lineRule="auto"/>
        <w:ind w:right="339"/>
        <w:jc w:val="both"/>
        <w:rPr>
          <w:color w:val="000000"/>
          <w:sz w:val="24"/>
          <w:szCs w:val="24"/>
        </w:rPr>
      </w:pPr>
    </w:p>
    <w:p w14:paraId="585CD6E3" w14:textId="77777777" w:rsidR="00231B0C" w:rsidRDefault="00231B0C">
      <w:pPr>
        <w:pBdr>
          <w:top w:val="nil"/>
          <w:left w:val="nil"/>
          <w:bottom w:val="nil"/>
          <w:right w:val="nil"/>
          <w:between w:val="nil"/>
        </w:pBdr>
        <w:spacing w:line="360" w:lineRule="auto"/>
        <w:ind w:right="339"/>
        <w:jc w:val="both"/>
        <w:rPr>
          <w:color w:val="000000"/>
          <w:sz w:val="24"/>
          <w:szCs w:val="24"/>
        </w:rPr>
      </w:pPr>
    </w:p>
    <w:p w14:paraId="7CACA0F2" w14:textId="77777777" w:rsidR="00231B0C" w:rsidRDefault="00231B0C">
      <w:pPr>
        <w:pBdr>
          <w:top w:val="nil"/>
          <w:left w:val="nil"/>
          <w:bottom w:val="nil"/>
          <w:right w:val="nil"/>
          <w:between w:val="nil"/>
        </w:pBdr>
        <w:spacing w:line="360" w:lineRule="auto"/>
        <w:ind w:right="339"/>
        <w:jc w:val="both"/>
        <w:rPr>
          <w:color w:val="000000"/>
          <w:sz w:val="24"/>
          <w:szCs w:val="24"/>
        </w:rPr>
      </w:pPr>
    </w:p>
    <w:p w14:paraId="05A765FE" w14:textId="77777777" w:rsidR="00231B0C" w:rsidRDefault="00231B0C">
      <w:pPr>
        <w:pBdr>
          <w:top w:val="nil"/>
          <w:left w:val="nil"/>
          <w:bottom w:val="nil"/>
          <w:right w:val="nil"/>
          <w:between w:val="nil"/>
        </w:pBdr>
        <w:spacing w:line="360" w:lineRule="auto"/>
        <w:ind w:right="339"/>
        <w:jc w:val="both"/>
        <w:rPr>
          <w:color w:val="000000"/>
          <w:sz w:val="24"/>
          <w:szCs w:val="24"/>
        </w:rPr>
      </w:pPr>
    </w:p>
    <w:p w14:paraId="02008157" w14:textId="77777777" w:rsidR="00231B0C" w:rsidRDefault="008D7880">
      <w:pPr>
        <w:pBdr>
          <w:top w:val="nil"/>
          <w:left w:val="nil"/>
          <w:bottom w:val="nil"/>
          <w:right w:val="nil"/>
          <w:between w:val="nil"/>
        </w:pBdr>
        <w:spacing w:line="360" w:lineRule="auto"/>
        <w:ind w:right="339"/>
        <w:jc w:val="both"/>
        <w:rPr>
          <w:color w:val="000000"/>
          <w:sz w:val="24"/>
          <w:szCs w:val="24"/>
        </w:rPr>
      </w:pPr>
      <w:r>
        <w:rPr>
          <w:b/>
          <w:color w:val="000000"/>
          <w:sz w:val="24"/>
          <w:szCs w:val="24"/>
        </w:rPr>
        <w:lastRenderedPageBreak/>
        <w:t>Il case manager nella Rete Oncologica Campana</w:t>
      </w:r>
    </w:p>
    <w:p w14:paraId="686EA5B1" w14:textId="77777777" w:rsidR="00231B0C" w:rsidRDefault="00231B0C">
      <w:pPr>
        <w:pBdr>
          <w:top w:val="nil"/>
          <w:left w:val="nil"/>
          <w:bottom w:val="nil"/>
          <w:right w:val="nil"/>
          <w:between w:val="nil"/>
        </w:pBdr>
        <w:spacing w:line="360" w:lineRule="auto"/>
        <w:ind w:right="339"/>
        <w:jc w:val="both"/>
        <w:rPr>
          <w:color w:val="000000"/>
          <w:sz w:val="24"/>
          <w:szCs w:val="24"/>
        </w:rPr>
      </w:pPr>
    </w:p>
    <w:p w14:paraId="77D77541" w14:textId="77777777" w:rsidR="00231B0C" w:rsidRDefault="008D7880">
      <w:pPr>
        <w:pBdr>
          <w:top w:val="nil"/>
          <w:left w:val="nil"/>
          <w:bottom w:val="nil"/>
          <w:right w:val="nil"/>
          <w:between w:val="nil"/>
        </w:pBdr>
        <w:spacing w:line="360" w:lineRule="auto"/>
        <w:ind w:right="339"/>
        <w:jc w:val="both"/>
        <w:rPr>
          <w:color w:val="000000"/>
          <w:sz w:val="24"/>
          <w:szCs w:val="24"/>
        </w:rPr>
      </w:pPr>
      <w:r>
        <w:rPr>
          <w:color w:val="000000"/>
          <w:sz w:val="24"/>
          <w:szCs w:val="24"/>
        </w:rPr>
        <w:t>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 del sistema sanitario. Il case manager è un professionista che coordina uno o più casi clinici a lui affidati. Esistono diversi profili professionali che ricoprono questo ruolo, ma dal 2023 tutti i nuovi case manager devono essere infermieri con specifica formazione e competenza.</w:t>
      </w:r>
    </w:p>
    <w:p w14:paraId="1FBA3C6C" w14:textId="77777777" w:rsidR="00231B0C" w:rsidRDefault="008D7880">
      <w:pPr>
        <w:pBdr>
          <w:top w:val="nil"/>
          <w:left w:val="nil"/>
          <w:bottom w:val="nil"/>
          <w:right w:val="nil"/>
          <w:between w:val="nil"/>
        </w:pBdr>
        <w:spacing w:line="360" w:lineRule="auto"/>
        <w:ind w:right="339"/>
        <w:jc w:val="both"/>
        <w:rPr>
          <w:color w:val="000000"/>
          <w:sz w:val="24"/>
          <w:szCs w:val="24"/>
        </w:rPr>
      </w:pPr>
      <w:r>
        <w:rPr>
          <w:color w:val="000000"/>
          <w:sz w:val="24"/>
          <w:szCs w:val="24"/>
        </w:rPr>
        <w:t xml:space="preserve">I case manager nella Rete Oncologica Campana svolgono una serie di attività fondamentali per il supporto ai pazienti oncologici, facilitando la comunicazione fra i vari specialisti coinvolti nel percorso di cura del paziente e assicurando che tutte le informazioni cliniche siano condivise tempestivamente tra i membri del gruppo oncologico multidisciplinare (GOM). </w:t>
      </w:r>
    </w:p>
    <w:p w14:paraId="46ACADD0" w14:textId="77777777" w:rsidR="00231B0C" w:rsidRDefault="008D7880">
      <w:pPr>
        <w:pBdr>
          <w:top w:val="nil"/>
          <w:left w:val="nil"/>
          <w:bottom w:val="nil"/>
          <w:right w:val="nil"/>
          <w:between w:val="nil"/>
        </w:pBdr>
        <w:spacing w:line="360" w:lineRule="auto"/>
        <w:ind w:right="339"/>
        <w:jc w:val="both"/>
        <w:rPr>
          <w:color w:val="000000"/>
          <w:sz w:val="24"/>
          <w:szCs w:val="24"/>
        </w:rPr>
      </w:pPr>
      <w:r>
        <w:rPr>
          <w:color w:val="000000"/>
          <w:sz w:val="24"/>
          <w:szCs w:val="24"/>
        </w:rPr>
        <w:t>Sono il portale di accesso per le richieste di presa in carico che vengono inviate, tramite la piattaforma ROC, dal territorio, dai Medici di Medicina Generale (MMG) e da altri specialisti in possesso delle credenziali ROC. Insieme ai medici, i case manager attivano la continuità territoriale o altri servizi offerti dalla piattaforma, garantendo così un percorso di cura integrato e personalizzato per ogni paziente.</w:t>
      </w:r>
    </w:p>
    <w:p w14:paraId="6994CF57" w14:textId="77777777" w:rsidR="00231B0C" w:rsidRDefault="008D7880">
      <w:pPr>
        <w:pBdr>
          <w:top w:val="nil"/>
          <w:left w:val="nil"/>
          <w:bottom w:val="nil"/>
          <w:right w:val="nil"/>
          <w:between w:val="nil"/>
        </w:pBdr>
        <w:spacing w:line="360" w:lineRule="auto"/>
        <w:ind w:right="339"/>
        <w:jc w:val="both"/>
        <w:rPr>
          <w:color w:val="000000"/>
          <w:sz w:val="24"/>
          <w:szCs w:val="24"/>
        </w:rPr>
      </w:pPr>
      <w:r>
        <w:rPr>
          <w:color w:val="000000"/>
          <w:sz w:val="24"/>
          <w:szCs w:val="24"/>
        </w:rPr>
        <w:t xml:space="preserve">Il case manager si occupa della programmazione di esami richiesti dal Gruppo Oncologico Multidisciplinare (GOM), della gestione riunioni multidisciplinare e della verifica della completezza delle schede relative ai pazienti da discutere. </w:t>
      </w:r>
    </w:p>
    <w:p w14:paraId="0CE32116" w14:textId="77777777" w:rsidR="00231B0C" w:rsidRDefault="008D7880">
      <w:pPr>
        <w:pBdr>
          <w:top w:val="nil"/>
          <w:left w:val="nil"/>
          <w:bottom w:val="nil"/>
          <w:right w:val="nil"/>
          <w:between w:val="nil"/>
        </w:pBdr>
        <w:spacing w:line="360" w:lineRule="auto"/>
        <w:ind w:right="339"/>
        <w:jc w:val="both"/>
        <w:rPr>
          <w:color w:val="000000"/>
          <w:sz w:val="24"/>
          <w:szCs w:val="24"/>
        </w:rPr>
      </w:pPr>
      <w:r>
        <w:rPr>
          <w:color w:val="000000"/>
          <w:sz w:val="24"/>
          <w:szCs w:val="24"/>
        </w:rPr>
        <w:t xml:space="preserve">Il case manager rappresenta un punto di riferimento essenziale per i pazienti oncologici e le loro famiglie, garantendo un percorso di cura integrato e personalizzato. </w:t>
      </w:r>
    </w:p>
    <w:p w14:paraId="007912BA" w14:textId="77777777" w:rsidR="00231B0C" w:rsidRDefault="008D7880">
      <w:pPr>
        <w:pBdr>
          <w:top w:val="nil"/>
          <w:left w:val="nil"/>
          <w:bottom w:val="nil"/>
          <w:right w:val="nil"/>
          <w:between w:val="nil"/>
        </w:pBdr>
        <w:spacing w:line="360" w:lineRule="auto"/>
        <w:ind w:right="339"/>
        <w:jc w:val="both"/>
        <w:rPr>
          <w:color w:val="000000"/>
          <w:sz w:val="24"/>
          <w:szCs w:val="24"/>
        </w:rPr>
      </w:pPr>
      <w:r>
        <w:rPr>
          <w:color w:val="000000"/>
          <w:sz w:val="24"/>
          <w:szCs w:val="24"/>
        </w:rPr>
        <w:t>L’implementazione efficace dei case manager nella Rete Oncologica Campana, con un carico di lavoro stimato di un case manager ogni 150 pazienti discussi annualmente, non solo migliora la qualità dell’assistenza, ma contribuisce anche a ottimizzare l’uso delle risorse sanitarie, riducendo i tempi di attesa e migliorando gli esiti clinici.</w:t>
      </w:r>
    </w:p>
    <w:p w14:paraId="3FD012DB" w14:textId="77777777" w:rsidR="00231B0C" w:rsidRDefault="008D7880">
      <w:pPr>
        <w:pBdr>
          <w:top w:val="nil"/>
          <w:left w:val="nil"/>
          <w:bottom w:val="nil"/>
          <w:right w:val="nil"/>
          <w:between w:val="nil"/>
        </w:pBdr>
        <w:spacing w:line="360" w:lineRule="auto"/>
        <w:ind w:right="339"/>
        <w:jc w:val="both"/>
        <w:rPr>
          <w:color w:val="000000"/>
          <w:sz w:val="24"/>
          <w:szCs w:val="24"/>
        </w:rPr>
        <w:sectPr w:rsidR="00231B0C">
          <w:headerReference w:type="default" r:id="rId29"/>
          <w:footerReference w:type="default" r:id="rId30"/>
          <w:pgSz w:w="11900" w:h="16840"/>
          <w:pgMar w:top="1417" w:right="1134" w:bottom="1134" w:left="1134" w:header="360" w:footer="219" w:gutter="0"/>
          <w:cols w:space="720"/>
        </w:sectPr>
      </w:pPr>
      <w:r>
        <w:rPr>
          <w:color w:val="000000"/>
          <w:sz w:val="24"/>
          <w:szCs w:val="24"/>
        </w:rPr>
        <w:t>Corsi annuali di aggiornamento per i case manager sono tenuti annualmente dalla Rete Oncologica</w:t>
      </w:r>
    </w:p>
    <w:p w14:paraId="2C70389F" w14:textId="77777777" w:rsidR="00231B0C" w:rsidRDefault="00231B0C">
      <w:pPr>
        <w:pBdr>
          <w:top w:val="nil"/>
          <w:left w:val="nil"/>
          <w:bottom w:val="nil"/>
          <w:right w:val="nil"/>
          <w:between w:val="nil"/>
        </w:pBdr>
        <w:tabs>
          <w:tab w:val="left" w:pos="1055"/>
        </w:tabs>
        <w:spacing w:line="360" w:lineRule="auto"/>
        <w:jc w:val="both"/>
        <w:rPr>
          <w:color w:val="000000"/>
          <w:sz w:val="24"/>
          <w:szCs w:val="24"/>
        </w:rPr>
      </w:pPr>
    </w:p>
    <w:p w14:paraId="683901A1" w14:textId="77777777" w:rsidR="00231B0C" w:rsidRDefault="008D7880">
      <w:pPr>
        <w:keepNext/>
        <w:pBdr>
          <w:top w:val="nil"/>
          <w:left w:val="nil"/>
          <w:bottom w:val="nil"/>
          <w:right w:val="nil"/>
          <w:between w:val="nil"/>
        </w:pBdr>
        <w:spacing w:line="360" w:lineRule="auto"/>
        <w:jc w:val="both"/>
        <w:rPr>
          <w:b/>
          <w:color w:val="000000"/>
          <w:sz w:val="24"/>
          <w:szCs w:val="24"/>
        </w:rPr>
      </w:pPr>
      <w:r>
        <w:rPr>
          <w:b/>
          <w:color w:val="000000"/>
          <w:sz w:val="24"/>
          <w:szCs w:val="24"/>
        </w:rPr>
        <w:t>Tempi di presa in carico (in giorni lavorativi)</w:t>
      </w:r>
    </w:p>
    <w:p w14:paraId="6E005D78" w14:textId="77777777" w:rsidR="00231B0C" w:rsidRDefault="008D7880">
      <w:pPr>
        <w:pBdr>
          <w:top w:val="nil"/>
          <w:left w:val="nil"/>
          <w:bottom w:val="nil"/>
          <w:right w:val="nil"/>
          <w:between w:val="nil"/>
        </w:pBdr>
        <w:spacing w:line="360" w:lineRule="auto"/>
        <w:ind w:hanging="2"/>
        <w:jc w:val="both"/>
        <w:rPr>
          <w:color w:val="000000"/>
          <w:sz w:val="24"/>
          <w:szCs w:val="24"/>
        </w:rPr>
      </w:pPr>
      <w:r>
        <w:rPr>
          <w:b/>
          <w:color w:val="000000"/>
          <w:sz w:val="24"/>
          <w:szCs w:val="24"/>
        </w:rPr>
        <w:t>I tempi indicati di seguito per il percorso del paziente sono da intendere come riferimenti teorici, suscettibili di modifiche in relazione alle caratteristiche cliniche del paziente e alla complessità diagnostica e all’offering delle Aziende della Rete Oncologica e dell’intero sistema regionale. Sono di seguito indicati al fine di monitorare i percorsi e di identificare eventuali azioni di miglioramento</w:t>
      </w:r>
    </w:p>
    <w:p w14:paraId="1F0EB896" w14:textId="77777777" w:rsidR="00231B0C" w:rsidRDefault="008D788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Il primo accesso al GOM per tumore del rene avverrà tramite prenotazione effettuata dal MMG o altro medico specialista attraverso il sistema informatico della Rete Oncologica Campana.</w:t>
      </w:r>
    </w:p>
    <w:p w14:paraId="12CC0CDD" w14:textId="77777777" w:rsidR="00231B0C" w:rsidRDefault="008D788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La prima visita da parte del GOM che prende in carico il paziente sarà erogata </w:t>
      </w:r>
      <w:r>
        <w:rPr>
          <w:b/>
          <w:color w:val="000000"/>
          <w:sz w:val="24"/>
          <w:szCs w:val="24"/>
        </w:rPr>
        <w:t>entro 7 giorni lavorativi</w:t>
      </w:r>
      <w:r>
        <w:rPr>
          <w:color w:val="000000"/>
          <w:sz w:val="24"/>
          <w:szCs w:val="24"/>
        </w:rPr>
        <w:t xml:space="preserve">. </w:t>
      </w:r>
    </w:p>
    <w:p w14:paraId="391640DE" w14:textId="77777777" w:rsidR="00231B0C" w:rsidRDefault="008D788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Il GOM si riunirà per la discussione dei casi clinici </w:t>
      </w:r>
      <w:r>
        <w:rPr>
          <w:b/>
          <w:color w:val="000000"/>
          <w:sz w:val="24"/>
          <w:szCs w:val="24"/>
        </w:rPr>
        <w:t>almeno una volta a settimana</w:t>
      </w:r>
      <w:r>
        <w:rPr>
          <w:color w:val="000000"/>
          <w:sz w:val="24"/>
          <w:szCs w:val="24"/>
        </w:rPr>
        <w:t xml:space="preserve">. </w:t>
      </w:r>
    </w:p>
    <w:p w14:paraId="25C36289" w14:textId="77777777" w:rsidR="00231B0C" w:rsidRDefault="008D7880">
      <w:pPr>
        <w:numPr>
          <w:ilvl w:val="0"/>
          <w:numId w:val="2"/>
        </w:numPr>
        <w:pBdr>
          <w:top w:val="nil"/>
          <w:left w:val="nil"/>
          <w:bottom w:val="nil"/>
          <w:right w:val="nil"/>
          <w:between w:val="nil"/>
        </w:pBdr>
        <w:spacing w:line="360" w:lineRule="auto"/>
        <w:jc w:val="both"/>
        <w:rPr>
          <w:color w:val="000000"/>
          <w:sz w:val="24"/>
          <w:szCs w:val="24"/>
        </w:rPr>
      </w:pPr>
      <w:r>
        <w:rPr>
          <w:b/>
          <w:color w:val="000000"/>
          <w:sz w:val="24"/>
          <w:szCs w:val="24"/>
        </w:rPr>
        <w:t>Entro ulteriori 15 giorni</w:t>
      </w:r>
      <w:r>
        <w:rPr>
          <w:color w:val="000000"/>
          <w:sz w:val="24"/>
          <w:szCs w:val="24"/>
        </w:rPr>
        <w:t xml:space="preserve"> dalla prima visita dovrà essere completata la stadiazione strumentale del tumore, qualora non già disponibile al momento della prima visita.</w:t>
      </w:r>
    </w:p>
    <w:p w14:paraId="53A7EC19" w14:textId="77777777" w:rsidR="00231B0C" w:rsidRDefault="008D788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Qualora una diagnosi di certezza istologica non fosse stata eseguita prima della Presa in Carico da parte del GOM, intervento chirurgico sarà effettuato</w:t>
      </w:r>
      <w:r>
        <w:rPr>
          <w:b/>
          <w:color w:val="000000"/>
          <w:sz w:val="24"/>
          <w:szCs w:val="24"/>
        </w:rPr>
        <w:t xml:space="preserve"> entro i 30 giorni successivi</w:t>
      </w:r>
      <w:r>
        <w:rPr>
          <w:color w:val="000000"/>
          <w:sz w:val="24"/>
          <w:szCs w:val="24"/>
        </w:rPr>
        <w:t xml:space="preserve"> alla visita multidisciplinare che ne avrà posto l’indicazione. </w:t>
      </w:r>
    </w:p>
    <w:p w14:paraId="6C195C1D" w14:textId="77777777" w:rsidR="00231B0C" w:rsidRDefault="008D788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Il referto istologico sarà disponibile </w:t>
      </w:r>
      <w:r>
        <w:rPr>
          <w:b/>
          <w:color w:val="000000"/>
          <w:sz w:val="24"/>
          <w:szCs w:val="24"/>
        </w:rPr>
        <w:t xml:space="preserve">entro 15 giorni dall’intervento. </w:t>
      </w:r>
    </w:p>
    <w:p w14:paraId="23EFA6FE" w14:textId="77777777" w:rsidR="00231B0C" w:rsidRDefault="008D788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Al completamento della fase diagnostico-stadiativa il GOM definirà e programmerà il prosieguo del percorso clinico </w:t>
      </w:r>
      <w:r>
        <w:rPr>
          <w:b/>
          <w:color w:val="000000"/>
          <w:sz w:val="24"/>
          <w:szCs w:val="24"/>
        </w:rPr>
        <w:t>entro 7 giorni</w:t>
      </w:r>
      <w:r>
        <w:rPr>
          <w:color w:val="000000"/>
          <w:sz w:val="24"/>
          <w:szCs w:val="24"/>
        </w:rPr>
        <w:t xml:space="preserve">; se ritenuto opportuno il CORP/CORPUS farà riferimento alla Rete Oncologica per una </w:t>
      </w:r>
      <w:r>
        <w:rPr>
          <w:i/>
          <w:color w:val="000000"/>
          <w:sz w:val="24"/>
          <w:szCs w:val="24"/>
        </w:rPr>
        <w:t>second opinion.</w:t>
      </w:r>
    </w:p>
    <w:p w14:paraId="3BE62BD3" w14:textId="77777777" w:rsidR="00231B0C" w:rsidRDefault="008D788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L’inizio di un’eventuale terapia sistemica prevista dovrà avvenire </w:t>
      </w:r>
      <w:r>
        <w:rPr>
          <w:b/>
          <w:color w:val="000000"/>
          <w:sz w:val="24"/>
          <w:szCs w:val="24"/>
        </w:rPr>
        <w:t>entro 40 giorni</w:t>
      </w:r>
      <w:r>
        <w:rPr>
          <w:color w:val="000000"/>
          <w:sz w:val="24"/>
          <w:szCs w:val="24"/>
        </w:rPr>
        <w:t>.</w:t>
      </w:r>
    </w:p>
    <w:p w14:paraId="082C176C" w14:textId="77777777" w:rsidR="00231B0C" w:rsidRDefault="00231B0C">
      <w:pPr>
        <w:pBdr>
          <w:top w:val="nil"/>
          <w:left w:val="nil"/>
          <w:bottom w:val="nil"/>
          <w:right w:val="nil"/>
          <w:between w:val="nil"/>
        </w:pBdr>
        <w:spacing w:line="360" w:lineRule="auto"/>
        <w:jc w:val="both"/>
        <w:rPr>
          <w:color w:val="000000"/>
          <w:sz w:val="24"/>
          <w:szCs w:val="24"/>
        </w:rPr>
      </w:pPr>
    </w:p>
    <w:p w14:paraId="1E8B2E94" w14:textId="77777777" w:rsidR="00231B0C" w:rsidRDefault="00231B0C">
      <w:pPr>
        <w:pBdr>
          <w:top w:val="nil"/>
          <w:left w:val="nil"/>
          <w:bottom w:val="nil"/>
          <w:right w:val="nil"/>
          <w:between w:val="nil"/>
        </w:pBdr>
        <w:spacing w:line="360" w:lineRule="auto"/>
        <w:jc w:val="both"/>
        <w:rPr>
          <w:color w:val="000000"/>
          <w:sz w:val="24"/>
          <w:szCs w:val="24"/>
        </w:rPr>
      </w:pPr>
    </w:p>
    <w:p w14:paraId="5C869AE9" w14:textId="77777777" w:rsidR="00231B0C" w:rsidRDefault="00231B0C">
      <w:pPr>
        <w:pBdr>
          <w:top w:val="nil"/>
          <w:left w:val="nil"/>
          <w:bottom w:val="nil"/>
          <w:right w:val="nil"/>
          <w:between w:val="nil"/>
        </w:pBdr>
        <w:spacing w:line="360" w:lineRule="auto"/>
        <w:jc w:val="both"/>
        <w:rPr>
          <w:color w:val="000000"/>
          <w:sz w:val="24"/>
          <w:szCs w:val="24"/>
        </w:rPr>
      </w:pPr>
    </w:p>
    <w:p w14:paraId="32F1D0DC" w14:textId="77777777" w:rsidR="00231B0C" w:rsidRDefault="00231B0C">
      <w:pPr>
        <w:pBdr>
          <w:top w:val="nil"/>
          <w:left w:val="nil"/>
          <w:bottom w:val="nil"/>
          <w:right w:val="nil"/>
          <w:between w:val="nil"/>
        </w:pBdr>
        <w:spacing w:line="360" w:lineRule="auto"/>
        <w:jc w:val="both"/>
        <w:rPr>
          <w:color w:val="000000"/>
          <w:sz w:val="24"/>
          <w:szCs w:val="24"/>
        </w:rPr>
      </w:pPr>
    </w:p>
    <w:p w14:paraId="01E65733" w14:textId="77777777" w:rsidR="00231B0C" w:rsidRDefault="00231B0C">
      <w:pPr>
        <w:pBdr>
          <w:top w:val="nil"/>
          <w:left w:val="nil"/>
          <w:bottom w:val="nil"/>
          <w:right w:val="nil"/>
          <w:between w:val="nil"/>
        </w:pBdr>
        <w:spacing w:line="360" w:lineRule="auto"/>
        <w:jc w:val="both"/>
        <w:rPr>
          <w:color w:val="000000"/>
          <w:sz w:val="24"/>
          <w:szCs w:val="24"/>
        </w:rPr>
      </w:pPr>
    </w:p>
    <w:p w14:paraId="7CABF9BE" w14:textId="77777777" w:rsidR="00231B0C" w:rsidRDefault="00231B0C">
      <w:pPr>
        <w:pBdr>
          <w:top w:val="nil"/>
          <w:left w:val="nil"/>
          <w:bottom w:val="nil"/>
          <w:right w:val="nil"/>
          <w:between w:val="nil"/>
        </w:pBdr>
        <w:spacing w:line="360" w:lineRule="auto"/>
        <w:jc w:val="both"/>
        <w:rPr>
          <w:color w:val="000000"/>
          <w:sz w:val="24"/>
          <w:szCs w:val="24"/>
        </w:rPr>
      </w:pPr>
    </w:p>
    <w:p w14:paraId="6C98F365" w14:textId="77777777" w:rsidR="00231B0C" w:rsidRDefault="00231B0C">
      <w:pPr>
        <w:pBdr>
          <w:top w:val="nil"/>
          <w:left w:val="nil"/>
          <w:bottom w:val="nil"/>
          <w:right w:val="nil"/>
          <w:between w:val="nil"/>
        </w:pBdr>
        <w:spacing w:line="360" w:lineRule="auto"/>
        <w:jc w:val="both"/>
        <w:rPr>
          <w:color w:val="000000"/>
          <w:sz w:val="24"/>
          <w:szCs w:val="24"/>
        </w:rPr>
      </w:pPr>
    </w:p>
    <w:p w14:paraId="42BE66E6" w14:textId="77777777" w:rsidR="00231B0C" w:rsidRDefault="00231B0C">
      <w:pPr>
        <w:pBdr>
          <w:top w:val="nil"/>
          <w:left w:val="nil"/>
          <w:bottom w:val="nil"/>
          <w:right w:val="nil"/>
          <w:between w:val="nil"/>
        </w:pBdr>
        <w:spacing w:line="360" w:lineRule="auto"/>
        <w:jc w:val="both"/>
        <w:rPr>
          <w:color w:val="000000"/>
          <w:sz w:val="24"/>
          <w:szCs w:val="24"/>
        </w:rPr>
      </w:pPr>
    </w:p>
    <w:p w14:paraId="1D7E4D1D" w14:textId="77777777" w:rsidR="00231B0C" w:rsidRDefault="00231B0C">
      <w:pPr>
        <w:pBdr>
          <w:top w:val="nil"/>
          <w:left w:val="nil"/>
          <w:bottom w:val="nil"/>
          <w:right w:val="nil"/>
          <w:between w:val="nil"/>
        </w:pBdr>
        <w:spacing w:line="360" w:lineRule="auto"/>
        <w:jc w:val="both"/>
        <w:rPr>
          <w:color w:val="000000"/>
          <w:sz w:val="24"/>
          <w:szCs w:val="24"/>
        </w:rPr>
      </w:pPr>
    </w:p>
    <w:p w14:paraId="116116EC" w14:textId="77777777" w:rsidR="00231B0C" w:rsidRDefault="00231B0C">
      <w:pPr>
        <w:pBdr>
          <w:top w:val="nil"/>
          <w:left w:val="nil"/>
          <w:bottom w:val="nil"/>
          <w:right w:val="nil"/>
          <w:between w:val="nil"/>
        </w:pBdr>
        <w:spacing w:line="360" w:lineRule="auto"/>
        <w:jc w:val="both"/>
        <w:rPr>
          <w:color w:val="000000"/>
          <w:sz w:val="24"/>
          <w:szCs w:val="24"/>
        </w:rPr>
      </w:pPr>
    </w:p>
    <w:p w14:paraId="54B916DA" w14:textId="77777777" w:rsidR="00231B0C" w:rsidRDefault="00231B0C">
      <w:pPr>
        <w:pBdr>
          <w:top w:val="nil"/>
          <w:left w:val="nil"/>
          <w:bottom w:val="nil"/>
          <w:right w:val="nil"/>
          <w:between w:val="nil"/>
        </w:pBdr>
        <w:spacing w:line="360" w:lineRule="auto"/>
        <w:jc w:val="both"/>
        <w:rPr>
          <w:color w:val="000000"/>
          <w:sz w:val="24"/>
          <w:szCs w:val="24"/>
        </w:rPr>
      </w:pPr>
    </w:p>
    <w:p w14:paraId="5BAE8F19" w14:textId="77777777" w:rsidR="00231B0C" w:rsidRDefault="00231B0C">
      <w:pPr>
        <w:pBdr>
          <w:top w:val="nil"/>
          <w:left w:val="nil"/>
          <w:bottom w:val="nil"/>
          <w:right w:val="nil"/>
          <w:between w:val="nil"/>
        </w:pBdr>
        <w:spacing w:line="360" w:lineRule="auto"/>
        <w:jc w:val="both"/>
        <w:rPr>
          <w:color w:val="000000"/>
          <w:sz w:val="24"/>
          <w:szCs w:val="24"/>
        </w:rPr>
      </w:pPr>
    </w:p>
    <w:p w14:paraId="52B48D1E" w14:textId="77777777" w:rsidR="00231B0C" w:rsidRDefault="008D7880">
      <w:pPr>
        <w:pBdr>
          <w:top w:val="nil"/>
          <w:left w:val="nil"/>
          <w:bottom w:val="nil"/>
          <w:right w:val="nil"/>
          <w:between w:val="nil"/>
        </w:pBdr>
        <w:spacing w:line="360" w:lineRule="auto"/>
        <w:jc w:val="both"/>
        <w:rPr>
          <w:color w:val="000000"/>
          <w:sz w:val="24"/>
          <w:szCs w:val="24"/>
        </w:rPr>
      </w:pPr>
      <w:r>
        <w:rPr>
          <w:b/>
          <w:color w:val="000000"/>
          <w:sz w:val="24"/>
          <w:szCs w:val="24"/>
        </w:rPr>
        <w:t>Piano di revisione del PDTA</w:t>
      </w:r>
    </w:p>
    <w:p w14:paraId="7396AC56" w14:textId="77777777" w:rsidR="00231B0C" w:rsidRDefault="00231B0C">
      <w:pPr>
        <w:pBdr>
          <w:top w:val="nil"/>
          <w:left w:val="nil"/>
          <w:bottom w:val="nil"/>
          <w:right w:val="nil"/>
          <w:between w:val="nil"/>
        </w:pBdr>
        <w:spacing w:line="360" w:lineRule="auto"/>
        <w:jc w:val="both"/>
        <w:rPr>
          <w:color w:val="000000"/>
          <w:sz w:val="24"/>
          <w:szCs w:val="24"/>
        </w:rPr>
      </w:pPr>
    </w:p>
    <w:tbl>
      <w:tblPr>
        <w:tblStyle w:val="ab"/>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419"/>
      </w:tblGrid>
      <w:tr w:rsidR="00231B0C" w14:paraId="4796D438" w14:textId="77777777">
        <w:tc>
          <w:tcPr>
            <w:tcW w:w="4219" w:type="dxa"/>
          </w:tcPr>
          <w:p w14:paraId="765E436B"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Coordinamento piano PDTA ROC</w:t>
            </w:r>
          </w:p>
        </w:tc>
        <w:tc>
          <w:tcPr>
            <w:tcW w:w="5419" w:type="dxa"/>
          </w:tcPr>
          <w:p w14:paraId="194D5A88"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Sandro Pignata</w:t>
            </w:r>
          </w:p>
        </w:tc>
      </w:tr>
      <w:tr w:rsidR="00231B0C" w14:paraId="56D5721B" w14:textId="77777777">
        <w:tc>
          <w:tcPr>
            <w:tcW w:w="4219" w:type="dxa"/>
          </w:tcPr>
          <w:p w14:paraId="005846C2" w14:textId="77777777" w:rsidR="00231B0C" w:rsidRDefault="008D7880">
            <w:pPr>
              <w:pBdr>
                <w:top w:val="nil"/>
                <w:left w:val="nil"/>
                <w:bottom w:val="nil"/>
                <w:right w:val="nil"/>
                <w:between w:val="nil"/>
              </w:pBdr>
              <w:spacing w:line="360" w:lineRule="auto"/>
              <w:rPr>
                <w:color w:val="000000"/>
                <w:sz w:val="22"/>
                <w:szCs w:val="22"/>
              </w:rPr>
            </w:pPr>
            <w:r>
              <w:rPr>
                <w:color w:val="000000"/>
                <w:sz w:val="22"/>
                <w:szCs w:val="22"/>
              </w:rPr>
              <w:t>Primi estensori</w:t>
            </w:r>
          </w:p>
        </w:tc>
        <w:tc>
          <w:tcPr>
            <w:tcW w:w="5419" w:type="dxa"/>
          </w:tcPr>
          <w:p w14:paraId="559F2EDB" w14:textId="09977800" w:rsidR="00231B0C" w:rsidRDefault="008D7880">
            <w:pPr>
              <w:pBdr>
                <w:top w:val="nil"/>
                <w:left w:val="nil"/>
                <w:bottom w:val="nil"/>
                <w:right w:val="nil"/>
                <w:between w:val="nil"/>
              </w:pBdr>
              <w:spacing w:line="360" w:lineRule="auto"/>
              <w:rPr>
                <w:color w:val="000000"/>
                <w:sz w:val="22"/>
                <w:szCs w:val="22"/>
              </w:rPr>
            </w:pPr>
            <w:r>
              <w:rPr>
                <w:color w:val="000000"/>
                <w:sz w:val="22"/>
                <w:szCs w:val="22"/>
              </w:rPr>
              <w:t>M. D Napoli, S. Scagliarini G. Di Lorenzo, S. Pignata, M. Muto, P. Fedelini, N. Longo, S. Perdonà, , L. Formisano, F. Fiore, A. D’Alessio, F. Barbarano</w:t>
            </w:r>
            <w:r w:rsidR="00101B10">
              <w:rPr>
                <w:color w:val="000000"/>
                <w:sz w:val="22"/>
                <w:szCs w:val="22"/>
              </w:rPr>
              <w:t>, Davide Bosso</w:t>
            </w:r>
          </w:p>
        </w:tc>
      </w:tr>
      <w:tr w:rsidR="00231B0C" w14:paraId="0AFA2D63" w14:textId="77777777">
        <w:tc>
          <w:tcPr>
            <w:tcW w:w="4219" w:type="dxa"/>
          </w:tcPr>
          <w:p w14:paraId="55876946"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Seconda valutazione</w:t>
            </w:r>
          </w:p>
        </w:tc>
        <w:tc>
          <w:tcPr>
            <w:tcW w:w="5419" w:type="dxa"/>
          </w:tcPr>
          <w:p w14:paraId="46DE78BF"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Tutti i referenti per la ROC dei CORP-CORPUS e ASL</w:t>
            </w:r>
          </w:p>
          <w:p w14:paraId="5FCB1AD1" w14:textId="77777777" w:rsidR="00231B0C" w:rsidRDefault="008D7880">
            <w:pPr>
              <w:pBdr>
                <w:top w:val="nil"/>
                <w:left w:val="nil"/>
                <w:bottom w:val="nil"/>
                <w:right w:val="nil"/>
                <w:between w:val="nil"/>
              </w:pBdr>
              <w:spacing w:line="268" w:lineRule="auto"/>
              <w:rPr>
                <w:color w:val="000000"/>
                <w:sz w:val="24"/>
                <w:szCs w:val="24"/>
              </w:rPr>
            </w:pPr>
            <w:r>
              <w:rPr>
                <w:color w:val="000000"/>
                <w:sz w:val="22"/>
                <w:szCs w:val="22"/>
              </w:rPr>
              <w:t>Sandro Pignata, IRCCS Pascale</w:t>
            </w:r>
          </w:p>
          <w:p w14:paraId="0DD09F31"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Ferdinando Riccardi, A.O.R.N. Cardarelli</w:t>
            </w:r>
          </w:p>
          <w:p w14:paraId="1777D76C"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Vincenzo Montesarchio, A.O.R.N. Dei Colli</w:t>
            </w:r>
          </w:p>
          <w:p w14:paraId="6B8FFBAF"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Cesare Gridelli, A.O.R.N. Moscati</w:t>
            </w:r>
          </w:p>
          <w:p w14:paraId="0DB76449"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Antonio M. Grimaldi, A.O.R.N. San Pio</w:t>
            </w:r>
          </w:p>
          <w:p w14:paraId="4F8EF3CC"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Michele Orditura, A.O.R.N. S. Anna S. Sebastiano</w:t>
            </w:r>
          </w:p>
          <w:p w14:paraId="3A2BCA8D"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Fortunato Ciardiello, A.O.U. Luigi Vanvitelli</w:t>
            </w:r>
          </w:p>
          <w:p w14:paraId="3D065D36"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Stefano Pepe, A.O.U. Ruggi</w:t>
            </w:r>
          </w:p>
          <w:p w14:paraId="3832C03A"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Bruno Daniele, Ospedale del Mare</w:t>
            </w:r>
          </w:p>
          <w:p w14:paraId="0E054239"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Roberto Bianco, A.O.U. Federico II</w:t>
            </w:r>
          </w:p>
          <w:p w14:paraId="7ACA2D51"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 xml:space="preserve">Gaetano Facchini, Ospedale Santa Maria delle Grazie Pozzuoli </w:t>
            </w:r>
          </w:p>
          <w:p w14:paraId="39396780"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Bruno Marra e Rodolfo Cangiano, ASL Caserta</w:t>
            </w:r>
          </w:p>
          <w:p w14:paraId="6A4462B4"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Filomena Sibilio, ASL Napoli 2 Nord</w:t>
            </w:r>
          </w:p>
          <w:p w14:paraId="5C8B7EFC"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Gino Leo, ASL Napoli 3 Sud</w:t>
            </w:r>
          </w:p>
          <w:p w14:paraId="6E938374"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Giuseppe Di Lorenzo, ASL Salerno</w:t>
            </w:r>
          </w:p>
          <w:p w14:paraId="2C26E749"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Tiziana Spinosa, ASL Napoli 1 Centro</w:t>
            </w:r>
          </w:p>
          <w:p w14:paraId="6B83B5F5"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Elena Fossi, ASL Benevento</w:t>
            </w:r>
          </w:p>
          <w:p w14:paraId="36E85B0F" w14:textId="77777777" w:rsidR="00231B0C" w:rsidRDefault="008D7880">
            <w:pPr>
              <w:pBdr>
                <w:top w:val="nil"/>
                <w:left w:val="nil"/>
                <w:bottom w:val="nil"/>
                <w:right w:val="nil"/>
                <w:between w:val="nil"/>
              </w:pBdr>
              <w:spacing w:before="53"/>
              <w:rPr>
                <w:color w:val="000000"/>
                <w:sz w:val="24"/>
                <w:szCs w:val="24"/>
              </w:rPr>
            </w:pPr>
            <w:r>
              <w:rPr>
                <w:color w:val="000000"/>
                <w:sz w:val="24"/>
                <w:szCs w:val="24"/>
              </w:rPr>
              <w:t>Geppino Genua, ASL Avellino</w:t>
            </w:r>
          </w:p>
        </w:tc>
      </w:tr>
      <w:tr w:rsidR="00231B0C" w14:paraId="09CD22D6" w14:textId="77777777">
        <w:tc>
          <w:tcPr>
            <w:tcW w:w="4219" w:type="dxa"/>
          </w:tcPr>
          <w:p w14:paraId="3AABE7C3"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Terza valutazione</w:t>
            </w:r>
          </w:p>
        </w:tc>
        <w:tc>
          <w:tcPr>
            <w:tcW w:w="5419" w:type="dxa"/>
          </w:tcPr>
          <w:p w14:paraId="6FE6F18A" w14:textId="77777777" w:rsidR="00231B0C" w:rsidRDefault="008D7880">
            <w:pPr>
              <w:pBdr>
                <w:top w:val="nil"/>
                <w:left w:val="nil"/>
                <w:bottom w:val="nil"/>
                <w:right w:val="nil"/>
                <w:between w:val="nil"/>
              </w:pBdr>
              <w:spacing w:before="1"/>
              <w:rPr>
                <w:color w:val="000000"/>
                <w:sz w:val="24"/>
                <w:szCs w:val="24"/>
              </w:rPr>
            </w:pPr>
            <w:r>
              <w:rPr>
                <w:color w:val="000000"/>
                <w:sz w:val="24"/>
                <w:szCs w:val="24"/>
              </w:rPr>
              <w:t>Componenti dei team multidisciplinari nei CORP-CORPUS e ASL identificati dai referenti della ROC</w:t>
            </w:r>
          </w:p>
        </w:tc>
      </w:tr>
      <w:tr w:rsidR="00231B0C" w14:paraId="16F221FA" w14:textId="77777777">
        <w:tc>
          <w:tcPr>
            <w:tcW w:w="4219" w:type="dxa"/>
          </w:tcPr>
          <w:p w14:paraId="1DBE2E35"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Note Epidemiologiche</w:t>
            </w:r>
          </w:p>
        </w:tc>
        <w:tc>
          <w:tcPr>
            <w:tcW w:w="5419" w:type="dxa"/>
          </w:tcPr>
          <w:p w14:paraId="23FF5F27"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M. Fusco: ASL NA 3 SUD, Membro Direttivo AIRTUM</w:t>
            </w:r>
          </w:p>
        </w:tc>
      </w:tr>
      <w:tr w:rsidR="00231B0C" w14:paraId="05404124" w14:textId="77777777">
        <w:trPr>
          <w:trHeight w:val="501"/>
        </w:trPr>
        <w:tc>
          <w:tcPr>
            <w:tcW w:w="4219" w:type="dxa"/>
          </w:tcPr>
          <w:p w14:paraId="620E403F"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Associazioni pazienti</w:t>
            </w:r>
          </w:p>
        </w:tc>
        <w:tc>
          <w:tcPr>
            <w:tcW w:w="5419" w:type="dxa"/>
          </w:tcPr>
          <w:p w14:paraId="57C39537"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FAVO</w:t>
            </w:r>
          </w:p>
        </w:tc>
      </w:tr>
      <w:tr w:rsidR="00231B0C" w14:paraId="37FF2E36" w14:textId="77777777">
        <w:tc>
          <w:tcPr>
            <w:tcW w:w="4219" w:type="dxa"/>
          </w:tcPr>
          <w:p w14:paraId="0D0FB39C" w14:textId="77777777" w:rsidR="00231B0C" w:rsidRDefault="008D7880">
            <w:pPr>
              <w:pBdr>
                <w:top w:val="nil"/>
                <w:left w:val="nil"/>
                <w:bottom w:val="nil"/>
                <w:right w:val="nil"/>
                <w:between w:val="nil"/>
              </w:pBdr>
              <w:spacing w:before="1"/>
              <w:rPr>
                <w:color w:val="000000"/>
                <w:sz w:val="24"/>
                <w:szCs w:val="24"/>
              </w:rPr>
            </w:pPr>
            <w:r>
              <w:rPr>
                <w:color w:val="000000"/>
                <w:sz w:val="24"/>
                <w:szCs w:val="24"/>
              </w:rPr>
              <w:t>Società Scientifiche</w:t>
            </w:r>
          </w:p>
        </w:tc>
        <w:tc>
          <w:tcPr>
            <w:tcW w:w="5419" w:type="dxa"/>
          </w:tcPr>
          <w:p w14:paraId="2E6A1D9F"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Rappresentanze regionali AIOM (R.Bianco), CIPOMO (C. Savastano), SIMG (G.Piccinocchi)</w:t>
            </w:r>
          </w:p>
        </w:tc>
      </w:tr>
      <w:tr w:rsidR="00231B0C" w14:paraId="185C85E7" w14:textId="77777777">
        <w:tc>
          <w:tcPr>
            <w:tcW w:w="4219" w:type="dxa"/>
          </w:tcPr>
          <w:p w14:paraId="539C921A" w14:textId="77777777" w:rsidR="00231B0C" w:rsidRDefault="008D7880">
            <w:pPr>
              <w:pBdr>
                <w:top w:val="nil"/>
                <w:left w:val="nil"/>
                <w:bottom w:val="nil"/>
                <w:right w:val="nil"/>
                <w:between w:val="nil"/>
              </w:pBdr>
              <w:spacing w:before="1"/>
              <w:rPr>
                <w:color w:val="000000"/>
                <w:sz w:val="24"/>
                <w:szCs w:val="24"/>
              </w:rPr>
            </w:pPr>
            <w:r>
              <w:rPr>
                <w:color w:val="000000"/>
                <w:sz w:val="24"/>
                <w:szCs w:val="24"/>
              </w:rPr>
              <w:t>Farmacisti revisori</w:t>
            </w:r>
          </w:p>
        </w:tc>
        <w:tc>
          <w:tcPr>
            <w:tcW w:w="5419" w:type="dxa"/>
          </w:tcPr>
          <w:p w14:paraId="389DCA09" w14:textId="77777777" w:rsidR="00231B0C" w:rsidRDefault="008D7880">
            <w:pPr>
              <w:pBdr>
                <w:top w:val="nil"/>
                <w:left w:val="nil"/>
                <w:bottom w:val="nil"/>
                <w:right w:val="nil"/>
                <w:between w:val="nil"/>
              </w:pBdr>
              <w:spacing w:line="268" w:lineRule="auto"/>
              <w:rPr>
                <w:color w:val="000000"/>
                <w:sz w:val="24"/>
                <w:szCs w:val="24"/>
              </w:rPr>
            </w:pPr>
            <w:r>
              <w:rPr>
                <w:color w:val="000000"/>
                <w:sz w:val="24"/>
                <w:szCs w:val="24"/>
              </w:rPr>
              <w:t>Giovanni Dubuis, Francesca Marrone, A.O.U. Luigi Vanvitelli</w:t>
            </w:r>
          </w:p>
        </w:tc>
      </w:tr>
    </w:tbl>
    <w:p w14:paraId="30899F19" w14:textId="77777777" w:rsidR="00231B0C" w:rsidRDefault="00231B0C">
      <w:pPr>
        <w:pBdr>
          <w:top w:val="nil"/>
          <w:left w:val="nil"/>
          <w:bottom w:val="nil"/>
          <w:right w:val="nil"/>
          <w:between w:val="nil"/>
        </w:pBdr>
        <w:spacing w:line="360" w:lineRule="auto"/>
        <w:ind w:left="720"/>
        <w:jc w:val="both"/>
        <w:rPr>
          <w:color w:val="000000"/>
          <w:sz w:val="24"/>
          <w:szCs w:val="24"/>
        </w:rPr>
      </w:pPr>
    </w:p>
    <w:p w14:paraId="2AA9540E" w14:textId="77777777" w:rsidR="00231B0C" w:rsidRDefault="00231B0C">
      <w:pPr>
        <w:pBdr>
          <w:top w:val="nil"/>
          <w:left w:val="nil"/>
          <w:bottom w:val="nil"/>
          <w:right w:val="nil"/>
          <w:between w:val="nil"/>
        </w:pBdr>
        <w:spacing w:line="360" w:lineRule="auto"/>
        <w:ind w:left="720"/>
        <w:jc w:val="both"/>
        <w:rPr>
          <w:color w:val="000000"/>
          <w:sz w:val="24"/>
          <w:szCs w:val="24"/>
        </w:rPr>
      </w:pPr>
    </w:p>
    <w:p w14:paraId="3D0A6BFC" w14:textId="77777777" w:rsidR="00231B0C" w:rsidRDefault="00231B0C">
      <w:pPr>
        <w:pBdr>
          <w:top w:val="nil"/>
          <w:left w:val="nil"/>
          <w:bottom w:val="nil"/>
          <w:right w:val="nil"/>
          <w:between w:val="nil"/>
        </w:pBdr>
        <w:spacing w:line="360" w:lineRule="auto"/>
        <w:ind w:left="720"/>
        <w:jc w:val="both"/>
        <w:rPr>
          <w:color w:val="000000"/>
          <w:sz w:val="24"/>
          <w:szCs w:val="24"/>
        </w:rPr>
      </w:pPr>
    </w:p>
    <w:p w14:paraId="53DD86A6" w14:textId="77777777" w:rsidR="00231B0C" w:rsidRDefault="00231B0C">
      <w:pPr>
        <w:pBdr>
          <w:top w:val="nil"/>
          <w:left w:val="nil"/>
          <w:bottom w:val="nil"/>
          <w:right w:val="nil"/>
          <w:between w:val="nil"/>
        </w:pBdr>
        <w:spacing w:line="360" w:lineRule="auto"/>
        <w:ind w:left="720"/>
        <w:jc w:val="both"/>
        <w:rPr>
          <w:color w:val="000000"/>
          <w:sz w:val="24"/>
          <w:szCs w:val="24"/>
        </w:rPr>
      </w:pPr>
    </w:p>
    <w:p w14:paraId="748381EB" w14:textId="77777777" w:rsidR="00231B0C" w:rsidRDefault="00231B0C">
      <w:pPr>
        <w:pBdr>
          <w:top w:val="nil"/>
          <w:left w:val="nil"/>
          <w:bottom w:val="nil"/>
          <w:right w:val="nil"/>
          <w:between w:val="nil"/>
        </w:pBdr>
        <w:spacing w:line="360" w:lineRule="auto"/>
        <w:ind w:left="720"/>
        <w:jc w:val="both"/>
        <w:rPr>
          <w:color w:val="000000"/>
          <w:sz w:val="24"/>
          <w:szCs w:val="24"/>
        </w:rPr>
      </w:pPr>
    </w:p>
    <w:p w14:paraId="741BF89F" w14:textId="77777777" w:rsidR="00231B0C" w:rsidRDefault="00231B0C">
      <w:pPr>
        <w:pBdr>
          <w:top w:val="nil"/>
          <w:left w:val="nil"/>
          <w:bottom w:val="nil"/>
          <w:right w:val="nil"/>
          <w:between w:val="nil"/>
        </w:pBdr>
        <w:spacing w:line="360" w:lineRule="auto"/>
        <w:ind w:left="720"/>
        <w:jc w:val="both"/>
        <w:rPr>
          <w:color w:val="000000"/>
          <w:sz w:val="24"/>
          <w:szCs w:val="24"/>
        </w:rPr>
      </w:pPr>
    </w:p>
    <w:p w14:paraId="701DED76" w14:textId="77777777" w:rsidR="00231B0C" w:rsidRDefault="008D7880">
      <w:pPr>
        <w:pBdr>
          <w:top w:val="nil"/>
          <w:left w:val="nil"/>
          <w:bottom w:val="nil"/>
          <w:right w:val="nil"/>
          <w:between w:val="nil"/>
        </w:pBdr>
        <w:spacing w:after="200" w:line="360" w:lineRule="auto"/>
        <w:jc w:val="both"/>
        <w:rPr>
          <w:color w:val="000000"/>
          <w:sz w:val="24"/>
          <w:szCs w:val="24"/>
        </w:rPr>
      </w:pPr>
      <w:r>
        <w:rPr>
          <w:b/>
          <w:color w:val="000000"/>
          <w:sz w:val="24"/>
          <w:szCs w:val="24"/>
        </w:rPr>
        <w:t>Percorsi suggeriti dalle Associazioni Pazienti aderenti a FAVO Campania da sviluppare nella ROC prima della prossima revisione annuale del PDTA</w:t>
      </w:r>
    </w:p>
    <w:p w14:paraId="472BB1E4" w14:textId="77777777" w:rsidR="00231B0C" w:rsidRDefault="00231B0C">
      <w:pPr>
        <w:pBdr>
          <w:top w:val="nil"/>
          <w:left w:val="nil"/>
          <w:bottom w:val="nil"/>
          <w:right w:val="nil"/>
          <w:between w:val="nil"/>
        </w:pBdr>
        <w:tabs>
          <w:tab w:val="left" w:pos="771"/>
        </w:tabs>
        <w:spacing w:line="360" w:lineRule="auto"/>
        <w:jc w:val="both"/>
        <w:rPr>
          <w:color w:val="000000"/>
          <w:sz w:val="24"/>
          <w:szCs w:val="24"/>
        </w:rPr>
      </w:pPr>
    </w:p>
    <w:tbl>
      <w:tblPr>
        <w:tblStyle w:val="ac"/>
        <w:tblW w:w="9783" w:type="dxa"/>
        <w:tblInd w:w="-113" w:type="dxa"/>
        <w:tblLayout w:type="fixed"/>
        <w:tblLook w:val="0000" w:firstRow="0" w:lastRow="0" w:firstColumn="0" w:lastColumn="0" w:noHBand="0" w:noVBand="0"/>
      </w:tblPr>
      <w:tblGrid>
        <w:gridCol w:w="1701"/>
        <w:gridCol w:w="8082"/>
      </w:tblGrid>
      <w:tr w:rsidR="00231B0C" w14:paraId="7C5DB036" w14:textId="77777777">
        <w:trPr>
          <w:trHeight w:val="56"/>
        </w:trPr>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45290" w14:textId="77777777" w:rsidR="00231B0C" w:rsidRDefault="008D7880">
            <w:pPr>
              <w:pBdr>
                <w:top w:val="nil"/>
                <w:left w:val="nil"/>
                <w:bottom w:val="nil"/>
                <w:right w:val="nil"/>
                <w:between w:val="nil"/>
              </w:pBdr>
              <w:spacing w:after="160" w:line="360" w:lineRule="auto"/>
              <w:jc w:val="both"/>
              <w:rPr>
                <w:color w:val="000000"/>
                <w:sz w:val="24"/>
                <w:szCs w:val="24"/>
              </w:rPr>
            </w:pPr>
            <w:r>
              <w:rPr>
                <w:b/>
                <w:color w:val="000000"/>
                <w:sz w:val="24"/>
                <w:szCs w:val="24"/>
              </w:rPr>
              <w:t>PDTA Rene</w:t>
            </w:r>
          </w:p>
        </w:tc>
        <w:tc>
          <w:tcPr>
            <w:tcW w:w="8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05D3E" w14:textId="77777777" w:rsidR="00231B0C" w:rsidRDefault="008D788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 xml:space="preserve">Si auspica la piena l’attuazione del percorso della R.O.C. con la costituzione della commissione del “Molecular Tumor Board” regionale, con ampia rappresentanza dei diversi stakeholders, al fine di regolamentare l’impiego dei test genomici per la medicina di precisione. </w:t>
            </w:r>
          </w:p>
          <w:p w14:paraId="4B35E1F9" w14:textId="77777777" w:rsidR="00231B0C" w:rsidRDefault="008D788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highlight w:val="white"/>
              </w:rPr>
              <w:t>Si auspica il pieno coinvolgimento del MMG nelle attività del GOM</w:t>
            </w:r>
          </w:p>
          <w:p w14:paraId="6D2AEE1D" w14:textId="77777777" w:rsidR="00231B0C" w:rsidRDefault="008D788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Si auspica che tutti i GOM (provvedano in tempi brevi e standardizzati a garantire ai pazienti in carico, tutte le prestazioni diagnostiche ambulatoriali (con impegnativa) e realizzino dei percorsi dedicati per i pazienti in valutazione GOM. Questo risolverebbe in gran parte i disagi creati dal Decreto 599 del 28/12/2021, con la definizione dei tetti di spesa per i centri diagnostici accreditati.</w:t>
            </w:r>
          </w:p>
          <w:p w14:paraId="22FDB484" w14:textId="77777777" w:rsidR="00231B0C" w:rsidRDefault="008D788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Si auspica che tutti i Corp, Corpus e GOM della R.O.C, rendano pubblici i dati di performance sulla tempistica di erogazione dei servizi diagnostico-terapeutici-assistenziali, previsti nei PDTA.</w:t>
            </w:r>
          </w:p>
          <w:p w14:paraId="7A02E7AB" w14:textId="77777777" w:rsidR="00231B0C" w:rsidRDefault="008D7880">
            <w:pPr>
              <w:numPr>
                <w:ilvl w:val="0"/>
                <w:numId w:val="10"/>
              </w:numPr>
              <w:pBdr>
                <w:top w:val="nil"/>
                <w:left w:val="nil"/>
                <w:bottom w:val="nil"/>
                <w:right w:val="nil"/>
                <w:between w:val="nil"/>
              </w:pBdr>
              <w:spacing w:after="200" w:line="360" w:lineRule="auto"/>
              <w:jc w:val="both"/>
              <w:rPr>
                <w:color w:val="000000"/>
                <w:sz w:val="24"/>
                <w:szCs w:val="24"/>
              </w:rPr>
            </w:pPr>
            <w:r>
              <w:rPr>
                <w:color w:val="000000"/>
                <w:sz w:val="24"/>
                <w:szCs w:val="24"/>
              </w:rPr>
              <w:t>Si auspica una sensibile accelerazione dei setting di formazione sul corretto uso della piattaforma ROC a favore dei MMG</w:t>
            </w:r>
          </w:p>
          <w:p w14:paraId="5C7E8268" w14:textId="77777777" w:rsidR="00231B0C" w:rsidRDefault="008D7880">
            <w:pPr>
              <w:numPr>
                <w:ilvl w:val="0"/>
                <w:numId w:val="10"/>
              </w:numPr>
              <w:pBdr>
                <w:top w:val="nil"/>
                <w:left w:val="nil"/>
                <w:bottom w:val="nil"/>
                <w:right w:val="nil"/>
                <w:between w:val="nil"/>
              </w:pBdr>
              <w:spacing w:after="140" w:line="276" w:lineRule="auto"/>
              <w:jc w:val="both"/>
              <w:rPr>
                <w:color w:val="000000"/>
                <w:sz w:val="24"/>
                <w:szCs w:val="24"/>
              </w:rPr>
            </w:pPr>
            <w:r>
              <w:rPr>
                <w:color w:val="000000"/>
                <w:sz w:val="24"/>
                <w:szCs w:val="24"/>
              </w:rPr>
              <w:t>Si auspice di Ridurre e Definire in maniera precisa le tempistiche per la diagnostica</w:t>
            </w:r>
          </w:p>
        </w:tc>
      </w:tr>
    </w:tbl>
    <w:p w14:paraId="313DFF0E" w14:textId="77777777" w:rsidR="00231B0C" w:rsidRDefault="00231B0C">
      <w:pPr>
        <w:pBdr>
          <w:top w:val="nil"/>
          <w:left w:val="nil"/>
          <w:bottom w:val="nil"/>
          <w:right w:val="nil"/>
          <w:between w:val="nil"/>
        </w:pBdr>
        <w:tabs>
          <w:tab w:val="left" w:pos="1394"/>
        </w:tabs>
        <w:jc w:val="both"/>
        <w:rPr>
          <w:color w:val="000000"/>
          <w:sz w:val="24"/>
          <w:szCs w:val="24"/>
        </w:rPr>
      </w:pPr>
    </w:p>
    <w:p w14:paraId="326E843E" w14:textId="77777777" w:rsidR="00231B0C" w:rsidRDefault="00231B0C">
      <w:pPr>
        <w:pBdr>
          <w:top w:val="nil"/>
          <w:left w:val="nil"/>
          <w:bottom w:val="nil"/>
          <w:right w:val="nil"/>
          <w:between w:val="nil"/>
        </w:pBdr>
        <w:spacing w:before="84" w:line="360" w:lineRule="auto"/>
        <w:ind w:left="302"/>
        <w:rPr>
          <w:color w:val="000000"/>
          <w:sz w:val="24"/>
          <w:szCs w:val="24"/>
        </w:rPr>
      </w:pPr>
    </w:p>
    <w:p w14:paraId="54D4154A" w14:textId="77777777" w:rsidR="00231B0C" w:rsidRDefault="00231B0C">
      <w:pPr>
        <w:pBdr>
          <w:top w:val="nil"/>
          <w:left w:val="nil"/>
          <w:bottom w:val="nil"/>
          <w:right w:val="nil"/>
          <w:between w:val="nil"/>
        </w:pBdr>
        <w:spacing w:before="84" w:line="360" w:lineRule="auto"/>
        <w:ind w:left="302"/>
        <w:rPr>
          <w:color w:val="000000"/>
          <w:sz w:val="24"/>
          <w:szCs w:val="24"/>
        </w:rPr>
      </w:pPr>
    </w:p>
    <w:p w14:paraId="67419EC2" w14:textId="77777777" w:rsidR="00231B0C" w:rsidRDefault="00231B0C">
      <w:pPr>
        <w:pBdr>
          <w:top w:val="nil"/>
          <w:left w:val="nil"/>
          <w:bottom w:val="nil"/>
          <w:right w:val="nil"/>
          <w:between w:val="nil"/>
        </w:pBdr>
        <w:spacing w:before="84" w:line="360" w:lineRule="auto"/>
        <w:ind w:left="302"/>
        <w:rPr>
          <w:color w:val="000000"/>
          <w:sz w:val="24"/>
          <w:szCs w:val="24"/>
        </w:rPr>
      </w:pPr>
    </w:p>
    <w:p w14:paraId="5B746160" w14:textId="77777777" w:rsidR="00231B0C" w:rsidRDefault="00231B0C">
      <w:pPr>
        <w:pBdr>
          <w:top w:val="nil"/>
          <w:left w:val="nil"/>
          <w:bottom w:val="nil"/>
          <w:right w:val="nil"/>
          <w:between w:val="nil"/>
        </w:pBdr>
        <w:spacing w:before="84" w:line="360" w:lineRule="auto"/>
        <w:ind w:left="302"/>
        <w:rPr>
          <w:color w:val="000000"/>
          <w:sz w:val="24"/>
          <w:szCs w:val="24"/>
        </w:rPr>
      </w:pPr>
    </w:p>
    <w:p w14:paraId="1AC8851B" w14:textId="77777777" w:rsidR="00231B0C" w:rsidRDefault="00231B0C">
      <w:pPr>
        <w:pBdr>
          <w:top w:val="nil"/>
          <w:left w:val="nil"/>
          <w:bottom w:val="nil"/>
          <w:right w:val="nil"/>
          <w:between w:val="nil"/>
        </w:pBdr>
        <w:spacing w:before="84" w:line="360" w:lineRule="auto"/>
        <w:ind w:left="302"/>
        <w:rPr>
          <w:color w:val="000000"/>
          <w:sz w:val="24"/>
          <w:szCs w:val="24"/>
        </w:rPr>
      </w:pPr>
    </w:p>
    <w:p w14:paraId="19A71F7F" w14:textId="77777777" w:rsidR="00231B0C" w:rsidRDefault="00231B0C">
      <w:pPr>
        <w:pBdr>
          <w:top w:val="nil"/>
          <w:left w:val="nil"/>
          <w:bottom w:val="nil"/>
          <w:right w:val="nil"/>
          <w:between w:val="nil"/>
        </w:pBdr>
        <w:spacing w:before="84" w:line="360" w:lineRule="auto"/>
        <w:ind w:left="302"/>
        <w:rPr>
          <w:color w:val="000000"/>
          <w:sz w:val="24"/>
          <w:szCs w:val="24"/>
        </w:rPr>
      </w:pPr>
    </w:p>
    <w:p w14:paraId="3B7017F0" w14:textId="77777777" w:rsidR="00231B0C" w:rsidRDefault="00231B0C">
      <w:pPr>
        <w:pBdr>
          <w:top w:val="nil"/>
          <w:left w:val="nil"/>
          <w:bottom w:val="nil"/>
          <w:right w:val="nil"/>
          <w:between w:val="nil"/>
        </w:pBdr>
        <w:spacing w:before="84" w:line="360" w:lineRule="auto"/>
        <w:rPr>
          <w:color w:val="000000"/>
          <w:sz w:val="24"/>
          <w:szCs w:val="24"/>
        </w:rPr>
      </w:pPr>
    </w:p>
    <w:p w14:paraId="565332FE" w14:textId="77777777" w:rsidR="00231B0C" w:rsidRDefault="00231B0C">
      <w:pPr>
        <w:pBdr>
          <w:top w:val="nil"/>
          <w:left w:val="nil"/>
          <w:bottom w:val="nil"/>
          <w:right w:val="nil"/>
          <w:between w:val="nil"/>
        </w:pBdr>
        <w:spacing w:before="84" w:line="360" w:lineRule="auto"/>
        <w:ind w:left="302"/>
        <w:rPr>
          <w:color w:val="000000"/>
          <w:sz w:val="24"/>
          <w:szCs w:val="24"/>
        </w:rPr>
      </w:pPr>
    </w:p>
    <w:p w14:paraId="50D82E30" w14:textId="77777777" w:rsidR="00231B0C" w:rsidRDefault="008D7880">
      <w:pPr>
        <w:pBdr>
          <w:top w:val="nil"/>
          <w:left w:val="nil"/>
          <w:bottom w:val="nil"/>
          <w:right w:val="nil"/>
          <w:between w:val="nil"/>
        </w:pBdr>
        <w:spacing w:before="84" w:line="360" w:lineRule="auto"/>
        <w:ind w:left="302"/>
        <w:rPr>
          <w:color w:val="000000"/>
          <w:sz w:val="24"/>
          <w:szCs w:val="24"/>
        </w:rPr>
      </w:pPr>
      <w:r>
        <w:rPr>
          <w:b/>
          <w:color w:val="000000"/>
          <w:sz w:val="24"/>
          <w:szCs w:val="24"/>
        </w:rPr>
        <w:lastRenderedPageBreak/>
        <w:t>Il decreto n.477 del 04/11/2021 attuato con Delibera n.272 del 07/06/2022 ha definito i “Target di intervento” per patologia</w:t>
      </w:r>
    </w:p>
    <w:p w14:paraId="1070C134" w14:textId="77777777" w:rsidR="00231B0C" w:rsidRDefault="00231B0C">
      <w:pPr>
        <w:pBdr>
          <w:top w:val="nil"/>
          <w:left w:val="nil"/>
          <w:bottom w:val="nil"/>
          <w:right w:val="nil"/>
          <w:between w:val="nil"/>
        </w:pBdr>
        <w:spacing w:line="20" w:lineRule="auto"/>
        <w:rPr>
          <w:color w:val="000000"/>
          <w:sz w:val="24"/>
          <w:szCs w:val="24"/>
        </w:rPr>
      </w:pPr>
    </w:p>
    <w:p w14:paraId="50B0B298" w14:textId="77777777" w:rsidR="00231B0C" w:rsidRDefault="00231B0C">
      <w:pPr>
        <w:pBdr>
          <w:top w:val="nil"/>
          <w:left w:val="nil"/>
          <w:bottom w:val="nil"/>
          <w:right w:val="nil"/>
          <w:between w:val="nil"/>
        </w:pBdr>
        <w:spacing w:line="20" w:lineRule="auto"/>
        <w:rPr>
          <w:color w:val="000000"/>
          <w:sz w:val="24"/>
          <w:szCs w:val="24"/>
        </w:rPr>
      </w:pPr>
    </w:p>
    <w:p w14:paraId="25C04EBB" w14:textId="77777777" w:rsidR="00231B0C" w:rsidRDefault="00231B0C">
      <w:pPr>
        <w:pBdr>
          <w:top w:val="nil"/>
          <w:left w:val="nil"/>
          <w:bottom w:val="nil"/>
          <w:right w:val="nil"/>
          <w:between w:val="nil"/>
        </w:pBdr>
        <w:spacing w:line="20" w:lineRule="auto"/>
        <w:rPr>
          <w:color w:val="000000"/>
          <w:sz w:val="24"/>
          <w:szCs w:val="24"/>
        </w:rPr>
      </w:pPr>
    </w:p>
    <w:p w14:paraId="5D9929C8" w14:textId="77777777" w:rsidR="00231B0C" w:rsidRDefault="00231B0C">
      <w:pPr>
        <w:pBdr>
          <w:top w:val="nil"/>
          <w:left w:val="nil"/>
          <w:bottom w:val="nil"/>
          <w:right w:val="nil"/>
          <w:between w:val="nil"/>
        </w:pBdr>
        <w:spacing w:line="20" w:lineRule="auto"/>
        <w:rPr>
          <w:color w:val="000000"/>
          <w:sz w:val="24"/>
          <w:szCs w:val="24"/>
        </w:rPr>
      </w:pPr>
    </w:p>
    <w:p w14:paraId="57E4D34B" w14:textId="77777777" w:rsidR="00231B0C" w:rsidRDefault="00231B0C">
      <w:pPr>
        <w:pBdr>
          <w:top w:val="nil"/>
          <w:left w:val="nil"/>
          <w:bottom w:val="nil"/>
          <w:right w:val="nil"/>
          <w:between w:val="nil"/>
        </w:pBdr>
        <w:spacing w:line="20" w:lineRule="auto"/>
        <w:rPr>
          <w:color w:val="000000"/>
          <w:sz w:val="24"/>
          <w:szCs w:val="24"/>
        </w:rPr>
      </w:pPr>
    </w:p>
    <w:p w14:paraId="008AC4D5" w14:textId="77777777" w:rsidR="00231B0C" w:rsidRDefault="00231B0C">
      <w:pPr>
        <w:pBdr>
          <w:top w:val="nil"/>
          <w:left w:val="nil"/>
          <w:bottom w:val="nil"/>
          <w:right w:val="nil"/>
          <w:between w:val="nil"/>
        </w:pBdr>
        <w:spacing w:line="20" w:lineRule="auto"/>
        <w:rPr>
          <w:color w:val="000000"/>
          <w:sz w:val="24"/>
          <w:szCs w:val="24"/>
        </w:rPr>
      </w:pPr>
    </w:p>
    <w:p w14:paraId="66ADD806" w14:textId="77777777" w:rsidR="00231B0C" w:rsidRDefault="00231B0C">
      <w:pPr>
        <w:pBdr>
          <w:top w:val="nil"/>
          <w:left w:val="nil"/>
          <w:bottom w:val="nil"/>
          <w:right w:val="nil"/>
          <w:between w:val="nil"/>
        </w:pBdr>
        <w:spacing w:line="20" w:lineRule="auto"/>
        <w:rPr>
          <w:color w:val="000000"/>
          <w:sz w:val="24"/>
          <w:szCs w:val="24"/>
        </w:rPr>
      </w:pPr>
    </w:p>
    <w:p w14:paraId="3645444F" w14:textId="77777777" w:rsidR="00231B0C" w:rsidRDefault="00231B0C">
      <w:pPr>
        <w:pBdr>
          <w:top w:val="nil"/>
          <w:left w:val="nil"/>
          <w:bottom w:val="nil"/>
          <w:right w:val="nil"/>
          <w:between w:val="nil"/>
        </w:pBdr>
        <w:spacing w:line="20" w:lineRule="auto"/>
        <w:rPr>
          <w:color w:val="000000"/>
          <w:sz w:val="24"/>
          <w:szCs w:val="24"/>
        </w:rPr>
      </w:pPr>
    </w:p>
    <w:p w14:paraId="1A5A5FBF" w14:textId="77777777" w:rsidR="00231B0C" w:rsidRDefault="00231B0C">
      <w:pPr>
        <w:pBdr>
          <w:top w:val="nil"/>
          <w:left w:val="nil"/>
          <w:bottom w:val="nil"/>
          <w:right w:val="nil"/>
          <w:between w:val="nil"/>
        </w:pBdr>
        <w:spacing w:line="20" w:lineRule="auto"/>
        <w:rPr>
          <w:color w:val="000000"/>
          <w:sz w:val="24"/>
          <w:szCs w:val="24"/>
        </w:rPr>
      </w:pPr>
    </w:p>
    <w:p w14:paraId="1817DC16" w14:textId="77777777" w:rsidR="00231B0C" w:rsidRDefault="00231B0C">
      <w:pPr>
        <w:pBdr>
          <w:top w:val="nil"/>
          <w:left w:val="nil"/>
          <w:bottom w:val="nil"/>
          <w:right w:val="nil"/>
          <w:between w:val="nil"/>
        </w:pBdr>
        <w:spacing w:line="20" w:lineRule="auto"/>
        <w:rPr>
          <w:color w:val="000000"/>
          <w:sz w:val="24"/>
          <w:szCs w:val="24"/>
        </w:rPr>
      </w:pPr>
    </w:p>
    <w:p w14:paraId="6662E639" w14:textId="77777777" w:rsidR="00231B0C" w:rsidRDefault="00231B0C">
      <w:pPr>
        <w:pBdr>
          <w:top w:val="nil"/>
          <w:left w:val="nil"/>
          <w:bottom w:val="nil"/>
          <w:right w:val="nil"/>
          <w:between w:val="nil"/>
        </w:pBdr>
        <w:spacing w:line="20" w:lineRule="auto"/>
        <w:rPr>
          <w:color w:val="000000"/>
          <w:sz w:val="24"/>
          <w:szCs w:val="24"/>
        </w:rPr>
      </w:pPr>
    </w:p>
    <w:p w14:paraId="7B26F551" w14:textId="77777777" w:rsidR="00231B0C" w:rsidRDefault="00231B0C">
      <w:pPr>
        <w:pBdr>
          <w:top w:val="nil"/>
          <w:left w:val="nil"/>
          <w:bottom w:val="nil"/>
          <w:right w:val="nil"/>
          <w:between w:val="nil"/>
        </w:pBdr>
        <w:spacing w:line="20" w:lineRule="auto"/>
        <w:rPr>
          <w:color w:val="000000"/>
          <w:sz w:val="24"/>
          <w:szCs w:val="24"/>
        </w:rPr>
      </w:pPr>
    </w:p>
    <w:p w14:paraId="209E11C0" w14:textId="77777777" w:rsidR="00231B0C" w:rsidRDefault="00231B0C">
      <w:pPr>
        <w:pBdr>
          <w:top w:val="nil"/>
          <w:left w:val="nil"/>
          <w:bottom w:val="nil"/>
          <w:right w:val="nil"/>
          <w:between w:val="nil"/>
        </w:pBdr>
        <w:spacing w:line="20" w:lineRule="auto"/>
        <w:rPr>
          <w:color w:val="000000"/>
          <w:sz w:val="24"/>
          <w:szCs w:val="24"/>
        </w:rPr>
      </w:pPr>
    </w:p>
    <w:p w14:paraId="6B1BA6D3" w14:textId="77777777" w:rsidR="00231B0C" w:rsidRDefault="00231B0C">
      <w:pPr>
        <w:pBdr>
          <w:top w:val="nil"/>
          <w:left w:val="nil"/>
          <w:bottom w:val="nil"/>
          <w:right w:val="nil"/>
          <w:between w:val="nil"/>
        </w:pBdr>
        <w:spacing w:line="20" w:lineRule="auto"/>
        <w:rPr>
          <w:color w:val="000000"/>
          <w:sz w:val="24"/>
          <w:szCs w:val="24"/>
        </w:rPr>
      </w:pPr>
    </w:p>
    <w:p w14:paraId="1EDBCFB6" w14:textId="77777777" w:rsidR="00231B0C" w:rsidRDefault="00231B0C">
      <w:pPr>
        <w:pBdr>
          <w:top w:val="nil"/>
          <w:left w:val="nil"/>
          <w:bottom w:val="nil"/>
          <w:right w:val="nil"/>
          <w:between w:val="nil"/>
        </w:pBdr>
        <w:spacing w:line="20" w:lineRule="auto"/>
        <w:rPr>
          <w:color w:val="000000"/>
          <w:sz w:val="24"/>
          <w:szCs w:val="24"/>
        </w:rPr>
      </w:pPr>
    </w:p>
    <w:p w14:paraId="71BC31AF" w14:textId="77777777" w:rsidR="00231B0C" w:rsidRDefault="00231B0C">
      <w:pPr>
        <w:pBdr>
          <w:top w:val="nil"/>
          <w:left w:val="nil"/>
          <w:bottom w:val="nil"/>
          <w:right w:val="nil"/>
          <w:between w:val="nil"/>
        </w:pBdr>
        <w:spacing w:line="20" w:lineRule="auto"/>
        <w:rPr>
          <w:color w:val="000000"/>
          <w:sz w:val="24"/>
          <w:szCs w:val="24"/>
        </w:rPr>
      </w:pPr>
    </w:p>
    <w:p w14:paraId="5BCB0C18" w14:textId="77777777" w:rsidR="00231B0C" w:rsidRDefault="00231B0C">
      <w:pPr>
        <w:pBdr>
          <w:top w:val="nil"/>
          <w:left w:val="nil"/>
          <w:bottom w:val="nil"/>
          <w:right w:val="nil"/>
          <w:between w:val="nil"/>
        </w:pBdr>
        <w:spacing w:line="20" w:lineRule="auto"/>
        <w:rPr>
          <w:color w:val="000000"/>
          <w:sz w:val="24"/>
          <w:szCs w:val="24"/>
        </w:rPr>
      </w:pPr>
    </w:p>
    <w:p w14:paraId="179BE8EF" w14:textId="77777777" w:rsidR="00231B0C" w:rsidRDefault="00231B0C">
      <w:pPr>
        <w:pBdr>
          <w:top w:val="nil"/>
          <w:left w:val="nil"/>
          <w:bottom w:val="nil"/>
          <w:right w:val="nil"/>
          <w:between w:val="nil"/>
        </w:pBdr>
        <w:spacing w:line="20" w:lineRule="auto"/>
        <w:rPr>
          <w:color w:val="000000"/>
          <w:sz w:val="24"/>
          <w:szCs w:val="24"/>
        </w:rPr>
      </w:pPr>
    </w:p>
    <w:p w14:paraId="5343E819" w14:textId="77777777" w:rsidR="00231B0C" w:rsidRDefault="00231B0C">
      <w:pPr>
        <w:pBdr>
          <w:top w:val="nil"/>
          <w:left w:val="nil"/>
          <w:bottom w:val="nil"/>
          <w:right w:val="nil"/>
          <w:between w:val="nil"/>
        </w:pBdr>
        <w:spacing w:line="20" w:lineRule="auto"/>
        <w:rPr>
          <w:color w:val="000000"/>
          <w:sz w:val="24"/>
          <w:szCs w:val="24"/>
        </w:rPr>
      </w:pPr>
    </w:p>
    <w:p w14:paraId="6F2BE7A9" w14:textId="77777777" w:rsidR="00231B0C" w:rsidRDefault="00231B0C">
      <w:pPr>
        <w:pBdr>
          <w:top w:val="nil"/>
          <w:left w:val="nil"/>
          <w:bottom w:val="nil"/>
          <w:right w:val="nil"/>
          <w:between w:val="nil"/>
        </w:pBdr>
        <w:spacing w:line="20" w:lineRule="auto"/>
        <w:rPr>
          <w:color w:val="000000"/>
          <w:sz w:val="24"/>
          <w:szCs w:val="24"/>
        </w:rPr>
      </w:pPr>
    </w:p>
    <w:p w14:paraId="026343C5" w14:textId="77777777" w:rsidR="00231B0C" w:rsidRDefault="00231B0C">
      <w:pPr>
        <w:pBdr>
          <w:top w:val="nil"/>
          <w:left w:val="nil"/>
          <w:bottom w:val="nil"/>
          <w:right w:val="nil"/>
          <w:between w:val="nil"/>
        </w:pBdr>
        <w:spacing w:line="20" w:lineRule="auto"/>
        <w:rPr>
          <w:color w:val="000000"/>
          <w:sz w:val="24"/>
          <w:szCs w:val="24"/>
        </w:rPr>
      </w:pPr>
    </w:p>
    <w:p w14:paraId="352B9C55" w14:textId="77777777" w:rsidR="00231B0C" w:rsidRDefault="00231B0C">
      <w:pPr>
        <w:pBdr>
          <w:top w:val="nil"/>
          <w:left w:val="nil"/>
          <w:bottom w:val="nil"/>
          <w:right w:val="nil"/>
          <w:between w:val="nil"/>
        </w:pBdr>
        <w:spacing w:line="20" w:lineRule="auto"/>
        <w:rPr>
          <w:color w:val="000000"/>
          <w:sz w:val="24"/>
          <w:szCs w:val="24"/>
        </w:rPr>
      </w:pPr>
    </w:p>
    <w:p w14:paraId="65193275" w14:textId="77777777" w:rsidR="00231B0C" w:rsidRDefault="00231B0C">
      <w:pPr>
        <w:pBdr>
          <w:top w:val="nil"/>
          <w:left w:val="nil"/>
          <w:bottom w:val="nil"/>
          <w:right w:val="nil"/>
          <w:between w:val="nil"/>
        </w:pBdr>
        <w:spacing w:line="20" w:lineRule="auto"/>
        <w:rPr>
          <w:color w:val="000000"/>
          <w:sz w:val="24"/>
          <w:szCs w:val="24"/>
        </w:rPr>
      </w:pPr>
    </w:p>
    <w:p w14:paraId="12B1B196" w14:textId="77777777" w:rsidR="00231B0C" w:rsidRDefault="00231B0C">
      <w:pPr>
        <w:pBdr>
          <w:top w:val="nil"/>
          <w:left w:val="nil"/>
          <w:bottom w:val="nil"/>
          <w:right w:val="nil"/>
          <w:between w:val="nil"/>
        </w:pBdr>
        <w:spacing w:line="20" w:lineRule="auto"/>
        <w:rPr>
          <w:color w:val="000000"/>
          <w:sz w:val="24"/>
          <w:szCs w:val="24"/>
        </w:rPr>
      </w:pPr>
    </w:p>
    <w:p w14:paraId="45F67D5E" w14:textId="77777777" w:rsidR="00231B0C" w:rsidRDefault="00231B0C">
      <w:pPr>
        <w:pBdr>
          <w:top w:val="nil"/>
          <w:left w:val="nil"/>
          <w:bottom w:val="nil"/>
          <w:right w:val="nil"/>
          <w:between w:val="nil"/>
        </w:pBdr>
        <w:spacing w:line="20" w:lineRule="auto"/>
        <w:rPr>
          <w:color w:val="000000"/>
          <w:sz w:val="24"/>
          <w:szCs w:val="24"/>
        </w:rPr>
      </w:pPr>
    </w:p>
    <w:p w14:paraId="1C3449A1" w14:textId="77777777" w:rsidR="00231B0C" w:rsidRDefault="00231B0C">
      <w:pPr>
        <w:pBdr>
          <w:top w:val="nil"/>
          <w:left w:val="nil"/>
          <w:bottom w:val="nil"/>
          <w:right w:val="nil"/>
          <w:between w:val="nil"/>
        </w:pBdr>
        <w:spacing w:line="20" w:lineRule="auto"/>
        <w:rPr>
          <w:color w:val="000000"/>
          <w:sz w:val="24"/>
          <w:szCs w:val="24"/>
        </w:rPr>
      </w:pPr>
    </w:p>
    <w:p w14:paraId="1CF96E19" w14:textId="77777777" w:rsidR="00231B0C" w:rsidRDefault="00231B0C">
      <w:pPr>
        <w:pBdr>
          <w:top w:val="nil"/>
          <w:left w:val="nil"/>
          <w:bottom w:val="nil"/>
          <w:right w:val="nil"/>
          <w:between w:val="nil"/>
        </w:pBdr>
        <w:spacing w:line="20" w:lineRule="auto"/>
        <w:rPr>
          <w:color w:val="000000"/>
          <w:sz w:val="24"/>
          <w:szCs w:val="24"/>
        </w:rPr>
      </w:pPr>
    </w:p>
    <w:p w14:paraId="280168EF" w14:textId="77777777" w:rsidR="00231B0C" w:rsidRDefault="00231B0C">
      <w:pPr>
        <w:pBdr>
          <w:top w:val="nil"/>
          <w:left w:val="nil"/>
          <w:bottom w:val="nil"/>
          <w:right w:val="nil"/>
          <w:between w:val="nil"/>
        </w:pBdr>
        <w:spacing w:line="20" w:lineRule="auto"/>
        <w:rPr>
          <w:color w:val="000000"/>
          <w:sz w:val="24"/>
          <w:szCs w:val="24"/>
        </w:rPr>
      </w:pPr>
    </w:p>
    <w:p w14:paraId="592366F9" w14:textId="77777777" w:rsidR="00231B0C" w:rsidRDefault="00231B0C">
      <w:pPr>
        <w:pBdr>
          <w:top w:val="nil"/>
          <w:left w:val="nil"/>
          <w:bottom w:val="nil"/>
          <w:right w:val="nil"/>
          <w:between w:val="nil"/>
        </w:pBdr>
        <w:spacing w:line="20" w:lineRule="auto"/>
        <w:rPr>
          <w:color w:val="000000"/>
          <w:sz w:val="24"/>
          <w:szCs w:val="24"/>
        </w:rPr>
      </w:pPr>
    </w:p>
    <w:p w14:paraId="3E32499B" w14:textId="77777777" w:rsidR="00231B0C" w:rsidRDefault="00231B0C">
      <w:pPr>
        <w:pBdr>
          <w:top w:val="nil"/>
          <w:left w:val="nil"/>
          <w:bottom w:val="nil"/>
          <w:right w:val="nil"/>
          <w:between w:val="nil"/>
        </w:pBdr>
        <w:spacing w:line="20" w:lineRule="auto"/>
        <w:rPr>
          <w:color w:val="000000"/>
          <w:sz w:val="24"/>
          <w:szCs w:val="24"/>
        </w:rPr>
      </w:pPr>
    </w:p>
    <w:p w14:paraId="2A3E8F69" w14:textId="77777777" w:rsidR="00231B0C" w:rsidRDefault="00231B0C">
      <w:pPr>
        <w:pBdr>
          <w:top w:val="nil"/>
          <w:left w:val="nil"/>
          <w:bottom w:val="nil"/>
          <w:right w:val="nil"/>
          <w:between w:val="nil"/>
        </w:pBdr>
        <w:spacing w:line="20" w:lineRule="auto"/>
        <w:rPr>
          <w:color w:val="000000"/>
          <w:sz w:val="24"/>
          <w:szCs w:val="24"/>
        </w:rPr>
      </w:pPr>
    </w:p>
    <w:p w14:paraId="3D10694A" w14:textId="77777777" w:rsidR="00231B0C" w:rsidRDefault="00231B0C">
      <w:pPr>
        <w:pBdr>
          <w:top w:val="nil"/>
          <w:left w:val="nil"/>
          <w:bottom w:val="nil"/>
          <w:right w:val="nil"/>
          <w:between w:val="nil"/>
        </w:pBdr>
        <w:spacing w:line="20" w:lineRule="auto"/>
        <w:rPr>
          <w:color w:val="000000"/>
          <w:sz w:val="24"/>
          <w:szCs w:val="24"/>
        </w:rPr>
      </w:pPr>
    </w:p>
    <w:p w14:paraId="39A413ED" w14:textId="77777777" w:rsidR="00231B0C" w:rsidRDefault="00231B0C">
      <w:pPr>
        <w:pBdr>
          <w:top w:val="nil"/>
          <w:left w:val="nil"/>
          <w:bottom w:val="nil"/>
          <w:right w:val="nil"/>
          <w:between w:val="nil"/>
        </w:pBdr>
        <w:spacing w:line="20" w:lineRule="auto"/>
        <w:rPr>
          <w:color w:val="000000"/>
          <w:sz w:val="24"/>
          <w:szCs w:val="24"/>
        </w:rPr>
      </w:pPr>
    </w:p>
    <w:p w14:paraId="669D2EFB" w14:textId="77777777" w:rsidR="00231B0C" w:rsidRDefault="00231B0C">
      <w:pPr>
        <w:pBdr>
          <w:top w:val="nil"/>
          <w:left w:val="nil"/>
          <w:bottom w:val="nil"/>
          <w:right w:val="nil"/>
          <w:between w:val="nil"/>
        </w:pBdr>
        <w:spacing w:line="20" w:lineRule="auto"/>
        <w:rPr>
          <w:color w:val="000000"/>
          <w:sz w:val="24"/>
          <w:szCs w:val="24"/>
        </w:rPr>
      </w:pPr>
    </w:p>
    <w:p w14:paraId="372042C1" w14:textId="77777777" w:rsidR="00231B0C" w:rsidRDefault="00231B0C">
      <w:pPr>
        <w:pBdr>
          <w:top w:val="nil"/>
          <w:left w:val="nil"/>
          <w:bottom w:val="nil"/>
          <w:right w:val="nil"/>
          <w:between w:val="nil"/>
        </w:pBdr>
        <w:spacing w:line="20" w:lineRule="auto"/>
        <w:rPr>
          <w:color w:val="000000"/>
          <w:sz w:val="28"/>
          <w:szCs w:val="28"/>
        </w:rPr>
      </w:pPr>
    </w:p>
    <w:p w14:paraId="6BADAB58" w14:textId="77777777" w:rsidR="00231B0C" w:rsidRDefault="00231B0C">
      <w:pPr>
        <w:pBdr>
          <w:top w:val="nil"/>
          <w:left w:val="nil"/>
          <w:bottom w:val="nil"/>
          <w:right w:val="nil"/>
          <w:between w:val="nil"/>
        </w:pBdr>
        <w:spacing w:line="20" w:lineRule="auto"/>
        <w:rPr>
          <w:color w:val="000000"/>
          <w:sz w:val="28"/>
          <w:szCs w:val="28"/>
        </w:rPr>
      </w:pPr>
    </w:p>
    <w:p w14:paraId="009348E2" w14:textId="77777777" w:rsidR="00231B0C" w:rsidRDefault="00231B0C">
      <w:pPr>
        <w:pBdr>
          <w:top w:val="nil"/>
          <w:left w:val="nil"/>
          <w:bottom w:val="nil"/>
          <w:right w:val="nil"/>
          <w:between w:val="nil"/>
        </w:pBdr>
        <w:spacing w:line="20" w:lineRule="auto"/>
        <w:rPr>
          <w:color w:val="000000"/>
          <w:sz w:val="28"/>
          <w:szCs w:val="28"/>
        </w:rPr>
      </w:pPr>
    </w:p>
    <w:p w14:paraId="2D5FA799" w14:textId="77777777" w:rsidR="00231B0C" w:rsidRDefault="00231B0C">
      <w:pPr>
        <w:pBdr>
          <w:top w:val="nil"/>
          <w:left w:val="nil"/>
          <w:bottom w:val="nil"/>
          <w:right w:val="nil"/>
          <w:between w:val="nil"/>
        </w:pBdr>
        <w:spacing w:line="20" w:lineRule="auto"/>
        <w:rPr>
          <w:color w:val="000000"/>
          <w:sz w:val="28"/>
          <w:szCs w:val="28"/>
        </w:rPr>
      </w:pPr>
    </w:p>
    <w:p w14:paraId="49AD537A" w14:textId="77777777" w:rsidR="00231B0C" w:rsidRDefault="00231B0C">
      <w:pPr>
        <w:pBdr>
          <w:top w:val="nil"/>
          <w:left w:val="nil"/>
          <w:bottom w:val="nil"/>
          <w:right w:val="nil"/>
          <w:between w:val="nil"/>
        </w:pBdr>
        <w:spacing w:line="20" w:lineRule="auto"/>
        <w:rPr>
          <w:color w:val="000000"/>
          <w:sz w:val="28"/>
          <w:szCs w:val="28"/>
        </w:rPr>
      </w:pPr>
    </w:p>
    <w:p w14:paraId="19684BD2" w14:textId="77777777" w:rsidR="00231B0C" w:rsidRDefault="00231B0C">
      <w:pPr>
        <w:pBdr>
          <w:top w:val="nil"/>
          <w:left w:val="nil"/>
          <w:bottom w:val="nil"/>
          <w:right w:val="nil"/>
          <w:between w:val="nil"/>
        </w:pBdr>
        <w:spacing w:line="20" w:lineRule="auto"/>
        <w:rPr>
          <w:color w:val="000000"/>
          <w:sz w:val="28"/>
          <w:szCs w:val="28"/>
        </w:rPr>
      </w:pPr>
    </w:p>
    <w:p w14:paraId="51318703" w14:textId="77777777" w:rsidR="00231B0C" w:rsidRDefault="00231B0C">
      <w:pPr>
        <w:pBdr>
          <w:top w:val="nil"/>
          <w:left w:val="nil"/>
          <w:bottom w:val="nil"/>
          <w:right w:val="nil"/>
          <w:between w:val="nil"/>
        </w:pBdr>
        <w:spacing w:line="20" w:lineRule="auto"/>
        <w:rPr>
          <w:color w:val="000000"/>
          <w:sz w:val="28"/>
          <w:szCs w:val="28"/>
        </w:rPr>
      </w:pPr>
    </w:p>
    <w:p w14:paraId="7415621E" w14:textId="77777777" w:rsidR="00231B0C" w:rsidRDefault="00231B0C">
      <w:pPr>
        <w:pBdr>
          <w:top w:val="nil"/>
          <w:left w:val="nil"/>
          <w:bottom w:val="nil"/>
          <w:right w:val="nil"/>
          <w:between w:val="nil"/>
        </w:pBdr>
        <w:spacing w:line="20" w:lineRule="auto"/>
        <w:rPr>
          <w:color w:val="000000"/>
          <w:sz w:val="28"/>
          <w:szCs w:val="28"/>
        </w:rPr>
      </w:pPr>
    </w:p>
    <w:p w14:paraId="7362058B" w14:textId="77777777" w:rsidR="00231B0C" w:rsidRDefault="00231B0C">
      <w:pPr>
        <w:pBdr>
          <w:top w:val="nil"/>
          <w:left w:val="nil"/>
          <w:bottom w:val="nil"/>
          <w:right w:val="nil"/>
          <w:between w:val="nil"/>
        </w:pBdr>
        <w:spacing w:line="20" w:lineRule="auto"/>
        <w:rPr>
          <w:color w:val="000000"/>
          <w:sz w:val="28"/>
          <w:szCs w:val="28"/>
        </w:rPr>
      </w:pPr>
    </w:p>
    <w:p w14:paraId="127B8E06" w14:textId="77777777" w:rsidR="00231B0C" w:rsidRDefault="00231B0C">
      <w:pPr>
        <w:pBdr>
          <w:top w:val="nil"/>
          <w:left w:val="nil"/>
          <w:bottom w:val="nil"/>
          <w:right w:val="nil"/>
          <w:between w:val="nil"/>
        </w:pBdr>
        <w:spacing w:line="20" w:lineRule="auto"/>
        <w:rPr>
          <w:color w:val="000000"/>
          <w:sz w:val="28"/>
          <w:szCs w:val="28"/>
        </w:rPr>
      </w:pPr>
    </w:p>
    <w:p w14:paraId="29043EA5" w14:textId="77777777" w:rsidR="00231B0C" w:rsidRDefault="00231B0C">
      <w:pPr>
        <w:pBdr>
          <w:top w:val="nil"/>
          <w:left w:val="nil"/>
          <w:bottom w:val="nil"/>
          <w:right w:val="nil"/>
          <w:between w:val="nil"/>
        </w:pBdr>
        <w:spacing w:line="20" w:lineRule="auto"/>
        <w:rPr>
          <w:color w:val="000000"/>
          <w:sz w:val="28"/>
          <w:szCs w:val="28"/>
        </w:rPr>
      </w:pPr>
    </w:p>
    <w:p w14:paraId="22E3F7D7" w14:textId="77777777" w:rsidR="00231B0C" w:rsidRDefault="00231B0C">
      <w:pPr>
        <w:pBdr>
          <w:top w:val="nil"/>
          <w:left w:val="nil"/>
          <w:bottom w:val="nil"/>
          <w:right w:val="nil"/>
          <w:between w:val="nil"/>
        </w:pBdr>
        <w:spacing w:line="20" w:lineRule="auto"/>
        <w:rPr>
          <w:color w:val="000000"/>
          <w:sz w:val="28"/>
          <w:szCs w:val="28"/>
        </w:rPr>
      </w:pPr>
    </w:p>
    <w:p w14:paraId="1EA7B9EA" w14:textId="77777777" w:rsidR="00231B0C" w:rsidRDefault="008D7880">
      <w:pPr>
        <w:pBdr>
          <w:top w:val="nil"/>
          <w:left w:val="nil"/>
          <w:bottom w:val="nil"/>
          <w:right w:val="nil"/>
          <w:between w:val="nil"/>
        </w:pBdr>
        <w:spacing w:line="20" w:lineRule="auto"/>
        <w:jc w:val="center"/>
        <w:rPr>
          <w:color w:val="000000"/>
          <w:sz w:val="28"/>
          <w:szCs w:val="28"/>
        </w:rPr>
      </w:pPr>
      <w:r>
        <w:rPr>
          <w:noProof/>
          <w:color w:val="000000"/>
          <w:sz w:val="24"/>
          <w:szCs w:val="24"/>
        </w:rPr>
        <w:drawing>
          <wp:inline distT="0" distB="0" distL="114300" distR="114300" wp14:anchorId="436E6600" wp14:editId="7D4BF8C5">
            <wp:extent cx="5555615" cy="625602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555615" cy="6256020"/>
                    </a:xfrm>
                    <a:prstGeom prst="rect">
                      <a:avLst/>
                    </a:prstGeom>
                    <a:ln/>
                  </pic:spPr>
                </pic:pic>
              </a:graphicData>
            </a:graphic>
          </wp:inline>
        </w:drawing>
      </w:r>
    </w:p>
    <w:p w14:paraId="23941270" w14:textId="77777777" w:rsidR="00231B0C" w:rsidRDefault="00231B0C">
      <w:pPr>
        <w:pBdr>
          <w:top w:val="nil"/>
          <w:left w:val="nil"/>
          <w:bottom w:val="nil"/>
          <w:right w:val="nil"/>
          <w:between w:val="nil"/>
        </w:pBdr>
        <w:spacing w:line="20" w:lineRule="auto"/>
        <w:rPr>
          <w:color w:val="000000"/>
          <w:sz w:val="28"/>
          <w:szCs w:val="28"/>
        </w:rPr>
      </w:pPr>
    </w:p>
    <w:p w14:paraId="029410A8" w14:textId="77777777" w:rsidR="00231B0C" w:rsidRDefault="00231B0C">
      <w:pPr>
        <w:pBdr>
          <w:top w:val="nil"/>
          <w:left w:val="nil"/>
          <w:bottom w:val="nil"/>
          <w:right w:val="nil"/>
          <w:between w:val="nil"/>
        </w:pBdr>
        <w:spacing w:line="20" w:lineRule="auto"/>
        <w:rPr>
          <w:color w:val="000000"/>
          <w:sz w:val="28"/>
          <w:szCs w:val="28"/>
        </w:rPr>
      </w:pPr>
    </w:p>
    <w:p w14:paraId="054FB8D4" w14:textId="77777777" w:rsidR="00231B0C" w:rsidRDefault="00231B0C">
      <w:pPr>
        <w:pBdr>
          <w:top w:val="nil"/>
          <w:left w:val="nil"/>
          <w:bottom w:val="nil"/>
          <w:right w:val="nil"/>
          <w:between w:val="nil"/>
        </w:pBdr>
        <w:spacing w:line="20" w:lineRule="auto"/>
        <w:rPr>
          <w:color w:val="000000"/>
          <w:sz w:val="28"/>
          <w:szCs w:val="28"/>
        </w:rPr>
      </w:pPr>
    </w:p>
    <w:p w14:paraId="5E724E8B" w14:textId="77777777" w:rsidR="00231B0C" w:rsidRDefault="00231B0C">
      <w:pPr>
        <w:pBdr>
          <w:top w:val="nil"/>
          <w:left w:val="nil"/>
          <w:bottom w:val="nil"/>
          <w:right w:val="nil"/>
          <w:between w:val="nil"/>
        </w:pBdr>
        <w:spacing w:line="20" w:lineRule="auto"/>
        <w:rPr>
          <w:color w:val="000000"/>
          <w:sz w:val="28"/>
          <w:szCs w:val="28"/>
        </w:rPr>
      </w:pPr>
    </w:p>
    <w:p w14:paraId="623C1DCD" w14:textId="77777777" w:rsidR="00231B0C" w:rsidRDefault="00231B0C">
      <w:pPr>
        <w:pBdr>
          <w:top w:val="nil"/>
          <w:left w:val="nil"/>
          <w:bottom w:val="nil"/>
          <w:right w:val="nil"/>
          <w:between w:val="nil"/>
        </w:pBdr>
        <w:spacing w:line="20" w:lineRule="auto"/>
        <w:rPr>
          <w:color w:val="000000"/>
          <w:sz w:val="28"/>
          <w:szCs w:val="28"/>
        </w:rPr>
      </w:pPr>
    </w:p>
    <w:p w14:paraId="375020EF" w14:textId="77777777" w:rsidR="00231B0C" w:rsidRDefault="00231B0C">
      <w:pPr>
        <w:pBdr>
          <w:top w:val="nil"/>
          <w:left w:val="nil"/>
          <w:bottom w:val="nil"/>
          <w:right w:val="nil"/>
          <w:between w:val="nil"/>
        </w:pBdr>
        <w:spacing w:line="20" w:lineRule="auto"/>
        <w:rPr>
          <w:color w:val="000000"/>
          <w:sz w:val="28"/>
          <w:szCs w:val="28"/>
        </w:rPr>
      </w:pPr>
    </w:p>
    <w:p w14:paraId="180C340A" w14:textId="77777777" w:rsidR="00231B0C" w:rsidRDefault="00231B0C">
      <w:pPr>
        <w:pBdr>
          <w:top w:val="nil"/>
          <w:left w:val="nil"/>
          <w:bottom w:val="nil"/>
          <w:right w:val="nil"/>
          <w:between w:val="nil"/>
        </w:pBdr>
        <w:spacing w:line="20" w:lineRule="auto"/>
        <w:rPr>
          <w:color w:val="000000"/>
          <w:sz w:val="28"/>
          <w:szCs w:val="28"/>
        </w:rPr>
      </w:pPr>
    </w:p>
    <w:p w14:paraId="2735147D" w14:textId="77777777" w:rsidR="00231B0C" w:rsidRDefault="00231B0C">
      <w:pPr>
        <w:pBdr>
          <w:top w:val="nil"/>
          <w:left w:val="nil"/>
          <w:bottom w:val="nil"/>
          <w:right w:val="nil"/>
          <w:between w:val="nil"/>
        </w:pBdr>
        <w:spacing w:line="20" w:lineRule="auto"/>
        <w:rPr>
          <w:color w:val="000000"/>
          <w:sz w:val="28"/>
          <w:szCs w:val="28"/>
        </w:rPr>
      </w:pPr>
    </w:p>
    <w:p w14:paraId="3A5FC35F" w14:textId="77777777" w:rsidR="00231B0C" w:rsidRDefault="00231B0C">
      <w:pPr>
        <w:pBdr>
          <w:top w:val="nil"/>
          <w:left w:val="nil"/>
          <w:bottom w:val="nil"/>
          <w:right w:val="nil"/>
          <w:between w:val="nil"/>
        </w:pBdr>
        <w:spacing w:line="20" w:lineRule="auto"/>
        <w:rPr>
          <w:color w:val="000000"/>
          <w:sz w:val="28"/>
          <w:szCs w:val="28"/>
        </w:rPr>
      </w:pPr>
    </w:p>
    <w:p w14:paraId="06D6E3B0" w14:textId="77777777" w:rsidR="00231B0C" w:rsidRDefault="00231B0C">
      <w:pPr>
        <w:pBdr>
          <w:top w:val="nil"/>
          <w:left w:val="nil"/>
          <w:bottom w:val="nil"/>
          <w:right w:val="nil"/>
          <w:between w:val="nil"/>
        </w:pBdr>
        <w:spacing w:line="20" w:lineRule="auto"/>
        <w:rPr>
          <w:color w:val="000000"/>
          <w:sz w:val="28"/>
          <w:szCs w:val="28"/>
        </w:rPr>
      </w:pPr>
    </w:p>
    <w:p w14:paraId="7CE9980C" w14:textId="77777777" w:rsidR="00231B0C" w:rsidRDefault="00231B0C">
      <w:pPr>
        <w:pBdr>
          <w:top w:val="nil"/>
          <w:left w:val="nil"/>
          <w:bottom w:val="nil"/>
          <w:right w:val="nil"/>
          <w:between w:val="nil"/>
        </w:pBdr>
        <w:spacing w:line="20" w:lineRule="auto"/>
        <w:rPr>
          <w:color w:val="000000"/>
          <w:sz w:val="28"/>
          <w:szCs w:val="28"/>
        </w:rPr>
      </w:pPr>
    </w:p>
    <w:p w14:paraId="287AFEA5" w14:textId="77777777" w:rsidR="00231B0C" w:rsidRDefault="00231B0C">
      <w:pPr>
        <w:pBdr>
          <w:top w:val="nil"/>
          <w:left w:val="nil"/>
          <w:bottom w:val="nil"/>
          <w:right w:val="nil"/>
          <w:between w:val="nil"/>
        </w:pBdr>
        <w:spacing w:line="20" w:lineRule="auto"/>
        <w:rPr>
          <w:color w:val="000000"/>
          <w:sz w:val="28"/>
          <w:szCs w:val="28"/>
        </w:rPr>
      </w:pPr>
    </w:p>
    <w:p w14:paraId="1187C434" w14:textId="77777777" w:rsidR="00231B0C" w:rsidRDefault="00231B0C">
      <w:pPr>
        <w:pBdr>
          <w:top w:val="nil"/>
          <w:left w:val="nil"/>
          <w:bottom w:val="nil"/>
          <w:right w:val="nil"/>
          <w:between w:val="nil"/>
        </w:pBdr>
        <w:spacing w:line="20" w:lineRule="auto"/>
        <w:rPr>
          <w:color w:val="000000"/>
          <w:sz w:val="28"/>
          <w:szCs w:val="28"/>
        </w:rPr>
      </w:pPr>
    </w:p>
    <w:p w14:paraId="207EC494" w14:textId="77777777" w:rsidR="00231B0C" w:rsidRDefault="00231B0C">
      <w:pPr>
        <w:pBdr>
          <w:top w:val="nil"/>
          <w:left w:val="nil"/>
          <w:bottom w:val="nil"/>
          <w:right w:val="nil"/>
          <w:between w:val="nil"/>
        </w:pBdr>
        <w:spacing w:line="20" w:lineRule="auto"/>
        <w:rPr>
          <w:color w:val="000000"/>
          <w:sz w:val="28"/>
          <w:szCs w:val="28"/>
        </w:rPr>
      </w:pPr>
    </w:p>
    <w:p w14:paraId="3A481265" w14:textId="77777777" w:rsidR="00231B0C" w:rsidRDefault="00231B0C">
      <w:pPr>
        <w:pBdr>
          <w:top w:val="nil"/>
          <w:left w:val="nil"/>
          <w:bottom w:val="nil"/>
          <w:right w:val="nil"/>
          <w:between w:val="nil"/>
        </w:pBdr>
        <w:spacing w:line="20" w:lineRule="auto"/>
        <w:rPr>
          <w:color w:val="000000"/>
          <w:sz w:val="28"/>
          <w:szCs w:val="28"/>
        </w:rPr>
      </w:pPr>
    </w:p>
    <w:p w14:paraId="79F6821B" w14:textId="77777777" w:rsidR="00231B0C" w:rsidRDefault="00231B0C">
      <w:pPr>
        <w:pBdr>
          <w:top w:val="nil"/>
          <w:left w:val="nil"/>
          <w:bottom w:val="nil"/>
          <w:right w:val="nil"/>
          <w:between w:val="nil"/>
        </w:pBdr>
        <w:spacing w:line="20" w:lineRule="auto"/>
        <w:rPr>
          <w:color w:val="000000"/>
          <w:sz w:val="28"/>
          <w:szCs w:val="28"/>
        </w:rPr>
      </w:pPr>
    </w:p>
    <w:p w14:paraId="00EA48B6" w14:textId="77777777" w:rsidR="00231B0C" w:rsidRDefault="00231B0C">
      <w:pPr>
        <w:pBdr>
          <w:top w:val="nil"/>
          <w:left w:val="nil"/>
          <w:bottom w:val="nil"/>
          <w:right w:val="nil"/>
          <w:between w:val="nil"/>
        </w:pBdr>
        <w:spacing w:line="20" w:lineRule="auto"/>
        <w:rPr>
          <w:color w:val="000000"/>
          <w:sz w:val="28"/>
          <w:szCs w:val="28"/>
        </w:rPr>
      </w:pPr>
    </w:p>
    <w:p w14:paraId="36F42E2F" w14:textId="77777777" w:rsidR="00231B0C" w:rsidRDefault="00231B0C">
      <w:pPr>
        <w:pBdr>
          <w:top w:val="nil"/>
          <w:left w:val="nil"/>
          <w:bottom w:val="nil"/>
          <w:right w:val="nil"/>
          <w:between w:val="nil"/>
        </w:pBdr>
        <w:spacing w:line="20" w:lineRule="auto"/>
        <w:rPr>
          <w:color w:val="000000"/>
          <w:sz w:val="28"/>
          <w:szCs w:val="28"/>
        </w:rPr>
      </w:pPr>
    </w:p>
    <w:p w14:paraId="509C802A" w14:textId="77777777" w:rsidR="00231B0C" w:rsidRDefault="00231B0C">
      <w:pPr>
        <w:pBdr>
          <w:top w:val="nil"/>
          <w:left w:val="nil"/>
          <w:bottom w:val="nil"/>
          <w:right w:val="nil"/>
          <w:between w:val="nil"/>
        </w:pBdr>
        <w:spacing w:line="20" w:lineRule="auto"/>
        <w:rPr>
          <w:color w:val="000000"/>
          <w:sz w:val="28"/>
          <w:szCs w:val="28"/>
        </w:rPr>
      </w:pPr>
    </w:p>
    <w:p w14:paraId="1EEDAE51" w14:textId="77777777" w:rsidR="00231B0C" w:rsidRDefault="00231B0C">
      <w:pPr>
        <w:pBdr>
          <w:top w:val="nil"/>
          <w:left w:val="nil"/>
          <w:bottom w:val="nil"/>
          <w:right w:val="nil"/>
          <w:between w:val="nil"/>
        </w:pBdr>
        <w:spacing w:line="20" w:lineRule="auto"/>
        <w:rPr>
          <w:color w:val="000000"/>
          <w:sz w:val="28"/>
          <w:szCs w:val="28"/>
        </w:rPr>
      </w:pPr>
    </w:p>
    <w:p w14:paraId="1F4511D9" w14:textId="77777777" w:rsidR="00231B0C" w:rsidRDefault="00231B0C">
      <w:pPr>
        <w:pBdr>
          <w:top w:val="nil"/>
          <w:left w:val="nil"/>
          <w:bottom w:val="nil"/>
          <w:right w:val="nil"/>
          <w:between w:val="nil"/>
        </w:pBdr>
        <w:spacing w:line="20" w:lineRule="auto"/>
        <w:rPr>
          <w:color w:val="000000"/>
          <w:sz w:val="28"/>
          <w:szCs w:val="28"/>
        </w:rPr>
      </w:pPr>
    </w:p>
    <w:p w14:paraId="37CA830E" w14:textId="77777777" w:rsidR="00231B0C" w:rsidRDefault="00231B0C">
      <w:pPr>
        <w:pBdr>
          <w:top w:val="nil"/>
          <w:left w:val="nil"/>
          <w:bottom w:val="nil"/>
          <w:right w:val="nil"/>
          <w:between w:val="nil"/>
        </w:pBdr>
        <w:spacing w:line="20" w:lineRule="auto"/>
        <w:rPr>
          <w:color w:val="000000"/>
          <w:sz w:val="28"/>
          <w:szCs w:val="28"/>
        </w:rPr>
      </w:pPr>
    </w:p>
    <w:p w14:paraId="6F128607" w14:textId="77777777" w:rsidR="00231B0C" w:rsidRDefault="00231B0C">
      <w:pPr>
        <w:pBdr>
          <w:top w:val="nil"/>
          <w:left w:val="nil"/>
          <w:bottom w:val="nil"/>
          <w:right w:val="nil"/>
          <w:between w:val="nil"/>
        </w:pBdr>
        <w:spacing w:line="360" w:lineRule="auto"/>
        <w:jc w:val="both"/>
        <w:rPr>
          <w:color w:val="000000"/>
          <w:sz w:val="24"/>
          <w:szCs w:val="24"/>
        </w:rPr>
      </w:pPr>
    </w:p>
    <w:sectPr w:rsidR="00231B0C">
      <w:headerReference w:type="default" r:id="rId32"/>
      <w:footerReference w:type="even" r:id="rId33"/>
      <w:footerReference w:type="default" r:id="rId34"/>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F72DB" w14:textId="77777777" w:rsidR="00E74F3C" w:rsidRDefault="00E74F3C">
      <w:r>
        <w:separator/>
      </w:r>
    </w:p>
  </w:endnote>
  <w:endnote w:type="continuationSeparator" w:id="0">
    <w:p w14:paraId="18A16B1B" w14:textId="77777777" w:rsidR="00E74F3C" w:rsidRDefault="00E7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D27E" w14:textId="77777777" w:rsidR="00231B0C" w:rsidRDefault="008D7880">
    <w:pPr>
      <w:pBdr>
        <w:top w:val="nil"/>
        <w:left w:val="nil"/>
        <w:bottom w:val="nil"/>
        <w:right w:val="nil"/>
        <w:between w:val="nil"/>
      </w:pBdr>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15DB9">
      <w:rPr>
        <w:noProof/>
        <w:color w:val="000000"/>
        <w:sz w:val="24"/>
        <w:szCs w:val="24"/>
      </w:rPr>
      <w:t>1</w:t>
    </w:r>
    <w:r>
      <w:rPr>
        <w:color w:val="000000"/>
        <w:sz w:val="24"/>
        <w:szCs w:val="24"/>
      </w:rPr>
      <w:fldChar w:fldCharType="end"/>
    </w:r>
  </w:p>
  <w:p w14:paraId="4D10F0B5" w14:textId="77777777" w:rsidR="00231B0C" w:rsidRDefault="00231B0C">
    <w:pPr>
      <w:pBdr>
        <w:top w:val="nil"/>
        <w:left w:val="nil"/>
        <w:bottom w:val="nil"/>
        <w:right w:val="nil"/>
        <w:between w:val="nil"/>
      </w:pBdr>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6853" w14:textId="77777777" w:rsidR="00231B0C" w:rsidRDefault="008D7880">
    <w:pPr>
      <w:pBdr>
        <w:top w:val="nil"/>
        <w:left w:val="nil"/>
        <w:bottom w:val="nil"/>
        <w:right w:val="nil"/>
        <w:between w:val="nil"/>
      </w:pBdr>
      <w:jc w:val="center"/>
      <w:rPr>
        <w:color w:val="000000"/>
        <w:sz w:val="24"/>
        <w:szCs w:val="24"/>
      </w:rPr>
    </w:pPr>
    <w:r>
      <w:rPr>
        <w:color w:val="000000"/>
        <w:sz w:val="24"/>
        <w:szCs w:val="24"/>
      </w:rPr>
      <w:fldChar w:fldCharType="begin"/>
    </w:r>
    <w:r>
      <w:rPr>
        <w:color w:val="000000"/>
        <w:sz w:val="24"/>
        <w:szCs w:val="24"/>
      </w:rPr>
      <w:instrText>PAGE</w:instrText>
    </w:r>
    <w:r w:rsidR="00E646F2">
      <w:rPr>
        <w:color w:val="000000"/>
        <w:sz w:val="24"/>
        <w:szCs w:val="24"/>
      </w:rPr>
      <w:fldChar w:fldCharType="separate"/>
    </w:r>
    <w:r>
      <w:rPr>
        <w:color w:val="000000"/>
        <w:sz w:val="24"/>
        <w:szCs w:val="24"/>
      </w:rPr>
      <w:fldChar w:fldCharType="end"/>
    </w:r>
  </w:p>
  <w:p w14:paraId="58462360" w14:textId="77777777" w:rsidR="00231B0C" w:rsidRDefault="00231B0C">
    <w:pPr>
      <w:pBdr>
        <w:top w:val="nil"/>
        <w:left w:val="nil"/>
        <w:bottom w:val="nil"/>
        <w:right w:val="nil"/>
        <w:between w:val="nil"/>
      </w:pBdr>
      <w:ind w:right="360"/>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09CF" w14:textId="712077FD" w:rsidR="00231B0C" w:rsidRDefault="008D7880">
    <w:pPr>
      <w:pBdr>
        <w:top w:val="nil"/>
        <w:left w:val="nil"/>
        <w:bottom w:val="nil"/>
        <w:right w:val="nil"/>
        <w:between w:val="nil"/>
      </w:pBdr>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15DB9">
      <w:rPr>
        <w:noProof/>
        <w:color w:val="000000"/>
        <w:sz w:val="24"/>
        <w:szCs w:val="24"/>
      </w:rPr>
      <w:t>36</w:t>
    </w:r>
    <w:r>
      <w:rPr>
        <w:color w:val="000000"/>
        <w:sz w:val="24"/>
        <w:szCs w:val="24"/>
      </w:rPr>
      <w:fldChar w:fldCharType="end"/>
    </w:r>
    <w:r>
      <w:rPr>
        <w:color w:val="000000"/>
        <w:sz w:val="24"/>
        <w:szCs w:val="24"/>
      </w:rPr>
      <w:t>8</w:t>
    </w:r>
  </w:p>
  <w:p w14:paraId="75631E7E" w14:textId="77777777" w:rsidR="00231B0C" w:rsidRDefault="00231B0C">
    <w:pPr>
      <w:pBdr>
        <w:top w:val="nil"/>
        <w:left w:val="nil"/>
        <w:bottom w:val="nil"/>
        <w:right w:val="nil"/>
        <w:between w:val="nil"/>
      </w:pBdr>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45173" w14:textId="77777777" w:rsidR="00E74F3C" w:rsidRDefault="00E74F3C">
      <w:r>
        <w:separator/>
      </w:r>
    </w:p>
  </w:footnote>
  <w:footnote w:type="continuationSeparator" w:id="0">
    <w:p w14:paraId="2B878E6D" w14:textId="77777777" w:rsidR="00E74F3C" w:rsidRDefault="00E74F3C">
      <w:r>
        <w:continuationSeparator/>
      </w:r>
    </w:p>
  </w:footnote>
  <w:footnote w:id="1">
    <w:p w14:paraId="064A134A" w14:textId="77777777" w:rsidR="00231B0C" w:rsidRDefault="008D7880">
      <w:pPr>
        <w:pBdr>
          <w:top w:val="nil"/>
          <w:left w:val="nil"/>
          <w:bottom w:val="nil"/>
          <w:right w:val="nil"/>
          <w:between w:val="nil"/>
        </w:pBdr>
        <w:rPr>
          <w:color w:val="000000"/>
        </w:rPr>
      </w:pPr>
      <w:bookmarkStart w:id="1" w:name="_shap1x8p6ept" w:colFirst="0" w:colLast="0"/>
      <w:bookmarkEnd w:id="1"/>
      <w:r>
        <w:rPr>
          <w:vertAlign w:val="superscript"/>
        </w:rPr>
        <w:footnoteRef/>
      </w:r>
      <w:r>
        <w:rPr>
          <w:color w:val="000000"/>
        </w:rPr>
        <w:t xml:space="preserve"> JRC-ENCR: ECIS - European Cancer Information System (tassi standardizzati su popolazione europea 2013). </w:t>
      </w:r>
    </w:p>
    <w:p w14:paraId="62D2B494" w14:textId="77777777" w:rsidR="00231B0C" w:rsidRDefault="008D7880">
      <w:pPr>
        <w:pBdr>
          <w:top w:val="nil"/>
          <w:left w:val="nil"/>
          <w:bottom w:val="nil"/>
          <w:right w:val="nil"/>
          <w:between w:val="nil"/>
        </w:pBdr>
        <w:rPr>
          <w:color w:val="000000"/>
        </w:rPr>
      </w:pPr>
      <w:r>
        <w:rPr>
          <w:color w:val="000000"/>
        </w:rPr>
        <w:t xml:space="preserve">   https://ecis.jrc.ec.europa.eu/</w:t>
      </w:r>
    </w:p>
  </w:footnote>
  <w:footnote w:id="2">
    <w:p w14:paraId="48668288" w14:textId="77777777" w:rsidR="00231B0C" w:rsidRDefault="008D7880">
      <w:pPr>
        <w:pBdr>
          <w:top w:val="nil"/>
          <w:left w:val="nil"/>
          <w:bottom w:val="nil"/>
          <w:right w:val="nil"/>
          <w:between w:val="nil"/>
        </w:pBdr>
        <w:rPr>
          <w:color w:val="000000"/>
        </w:rPr>
      </w:pPr>
      <w:r>
        <w:rPr>
          <w:vertAlign w:val="superscript"/>
        </w:rPr>
        <w:footnoteRef/>
      </w:r>
      <w:r>
        <w:rPr>
          <w:color w:val="000000"/>
        </w:rPr>
        <w:t xml:space="preserve"> Dati Registro Tumori Regione Campania (tassi standardizzati su popolazione europea 2013)</w:t>
      </w:r>
    </w:p>
    <w:p w14:paraId="1FAA8369" w14:textId="77777777" w:rsidR="00231B0C" w:rsidRDefault="00231B0C">
      <w:pPr>
        <w:pBdr>
          <w:top w:val="nil"/>
          <w:left w:val="nil"/>
          <w:bottom w:val="nil"/>
          <w:right w:val="nil"/>
          <w:between w:val="nil"/>
        </w:pBdr>
        <w:rPr>
          <w:color w:val="000000"/>
        </w:rPr>
      </w:pPr>
    </w:p>
  </w:footnote>
  <w:footnote w:id="3">
    <w:p w14:paraId="6B800B1D" w14:textId="77777777" w:rsidR="00231B0C" w:rsidRDefault="008D7880">
      <w:pPr>
        <w:pBdr>
          <w:top w:val="nil"/>
          <w:left w:val="nil"/>
          <w:bottom w:val="nil"/>
          <w:right w:val="nil"/>
          <w:between w:val="nil"/>
        </w:pBdr>
        <w:rPr>
          <w:color w:val="000000"/>
        </w:rPr>
      </w:pPr>
      <w:r>
        <w:rPr>
          <w:vertAlign w:val="superscript"/>
        </w:rPr>
        <w:footnoteRef/>
      </w:r>
      <w:r>
        <w:rPr>
          <w:color w:val="000000"/>
        </w:rPr>
        <w:t xml:space="preserve"> La sopravvivenza per cancro in Italia – dati AIRTUM 2016</w:t>
      </w:r>
    </w:p>
  </w:footnote>
  <w:footnote w:id="4">
    <w:p w14:paraId="2A374BAD" w14:textId="77777777" w:rsidR="00231B0C" w:rsidRDefault="008D7880">
      <w:pPr>
        <w:pBdr>
          <w:top w:val="nil"/>
          <w:left w:val="nil"/>
          <w:bottom w:val="nil"/>
          <w:right w:val="nil"/>
          <w:between w:val="nil"/>
        </w:pBdr>
        <w:rPr>
          <w:color w:val="000000"/>
        </w:rPr>
      </w:pPr>
      <w:r>
        <w:rPr>
          <w:vertAlign w:val="superscript"/>
        </w:rPr>
        <w:footnoteRef/>
      </w:r>
      <w:r>
        <w:rPr>
          <w:color w:val="000000"/>
        </w:rPr>
        <w:t xml:space="preserve"> Razionale scientifico Rete Oncologica Regione Campania DGRC 477 del 04/11/2021; DGRC 798 del 29/12/2023</w:t>
      </w:r>
    </w:p>
    <w:p w14:paraId="265EF44E" w14:textId="77777777" w:rsidR="00231B0C" w:rsidRDefault="00231B0C">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0A69" w14:textId="77777777" w:rsidR="00231B0C" w:rsidRDefault="008D7880">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4D7390DD" wp14:editId="65895F6D">
          <wp:simplePos x="0" y="0"/>
          <wp:positionH relativeFrom="column">
            <wp:posOffset>5436870</wp:posOffset>
          </wp:positionH>
          <wp:positionV relativeFrom="paragraph">
            <wp:posOffset>89535</wp:posOffset>
          </wp:positionV>
          <wp:extent cx="796925" cy="598805"/>
          <wp:effectExtent l="0" t="0" r="0" b="0"/>
          <wp:wrapNone/>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96925" cy="59880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76A5" w14:textId="77777777" w:rsidR="00231B0C" w:rsidRDefault="008D7880">
    <w:pPr>
      <w:pBdr>
        <w:top w:val="nil"/>
        <w:left w:val="nil"/>
        <w:bottom w:val="nil"/>
        <w:right w:val="nil"/>
        <w:between w:val="nil"/>
      </w:pBdr>
      <w:rPr>
        <w:color w:val="000000"/>
      </w:rPr>
    </w:pPr>
    <w:r>
      <w:rPr>
        <w:noProof/>
      </w:rPr>
      <w:drawing>
        <wp:anchor distT="0" distB="0" distL="114300" distR="114300" simplePos="0" relativeHeight="251659264" behindDoc="0" locked="0" layoutInCell="1" hidden="0" allowOverlap="1" wp14:anchorId="621EBD13" wp14:editId="504871FF">
          <wp:simplePos x="0" y="0"/>
          <wp:positionH relativeFrom="column">
            <wp:posOffset>5284470</wp:posOffset>
          </wp:positionH>
          <wp:positionV relativeFrom="paragraph">
            <wp:posOffset>-283844</wp:posOffset>
          </wp:positionV>
          <wp:extent cx="796925" cy="598805"/>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96925" cy="598805"/>
                  </a:xfrm>
                  <a:prstGeom prst="rect">
                    <a:avLst/>
                  </a:prstGeom>
                  <a:ln/>
                </pic:spPr>
              </pic:pic>
            </a:graphicData>
          </a:graphic>
        </wp:anchor>
      </w:drawing>
    </w:r>
  </w:p>
  <w:p w14:paraId="08209719" w14:textId="77777777" w:rsidR="00231B0C" w:rsidRDefault="00231B0C">
    <w:pPr>
      <w:pBdr>
        <w:top w:val="nil"/>
        <w:left w:val="nil"/>
        <w:bottom w:val="nil"/>
        <w:right w:val="nil"/>
        <w:between w:val="nil"/>
      </w:pBdr>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7D54"/>
    <w:multiLevelType w:val="multilevel"/>
    <w:tmpl w:val="94888F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8D6D95"/>
    <w:multiLevelType w:val="multilevel"/>
    <w:tmpl w:val="70A6EE6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7E02AAF"/>
    <w:multiLevelType w:val="multilevel"/>
    <w:tmpl w:val="67E085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BD45B4D"/>
    <w:multiLevelType w:val="multilevel"/>
    <w:tmpl w:val="CB7CE6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BFC445F"/>
    <w:multiLevelType w:val="multilevel"/>
    <w:tmpl w:val="75A2327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5995AD0"/>
    <w:multiLevelType w:val="multilevel"/>
    <w:tmpl w:val="3CC6E6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2224B80"/>
    <w:multiLevelType w:val="multilevel"/>
    <w:tmpl w:val="720A770E"/>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467823BD"/>
    <w:multiLevelType w:val="multilevel"/>
    <w:tmpl w:val="89AE80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AE8653F"/>
    <w:multiLevelType w:val="multilevel"/>
    <w:tmpl w:val="CB621F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00066E4"/>
    <w:multiLevelType w:val="multilevel"/>
    <w:tmpl w:val="297610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2FD02FC"/>
    <w:multiLevelType w:val="multilevel"/>
    <w:tmpl w:val="74FEA65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A1104A2"/>
    <w:multiLevelType w:val="hybridMultilevel"/>
    <w:tmpl w:val="ED56A5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D8C1D70"/>
    <w:multiLevelType w:val="multilevel"/>
    <w:tmpl w:val="08B207A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6AF86D59"/>
    <w:multiLevelType w:val="hybridMultilevel"/>
    <w:tmpl w:val="6A3C08DE"/>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4" w15:restartNumberingAfterBreak="0">
    <w:nsid w:val="74220E42"/>
    <w:multiLevelType w:val="hybridMultilevel"/>
    <w:tmpl w:val="6AD030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8"/>
  </w:num>
  <w:num w:numId="5">
    <w:abstractNumId w:val="0"/>
  </w:num>
  <w:num w:numId="6">
    <w:abstractNumId w:val="4"/>
  </w:num>
  <w:num w:numId="7">
    <w:abstractNumId w:val="3"/>
  </w:num>
  <w:num w:numId="8">
    <w:abstractNumId w:val="1"/>
  </w:num>
  <w:num w:numId="9">
    <w:abstractNumId w:val="7"/>
  </w:num>
  <w:num w:numId="10">
    <w:abstractNumId w:val="6"/>
  </w:num>
  <w:num w:numId="11">
    <w:abstractNumId w:val="5"/>
  </w:num>
  <w:num w:numId="12">
    <w:abstractNumId w:val="9"/>
  </w:num>
  <w:num w:numId="13">
    <w:abstractNumId w:val="13"/>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B0C"/>
    <w:rsid w:val="00101B10"/>
    <w:rsid w:val="00180B75"/>
    <w:rsid w:val="001C133F"/>
    <w:rsid w:val="001F47AB"/>
    <w:rsid w:val="0022386E"/>
    <w:rsid w:val="00231B0C"/>
    <w:rsid w:val="002403AA"/>
    <w:rsid w:val="002D4C02"/>
    <w:rsid w:val="00360170"/>
    <w:rsid w:val="00403EF9"/>
    <w:rsid w:val="00425A04"/>
    <w:rsid w:val="004428CC"/>
    <w:rsid w:val="00546DB0"/>
    <w:rsid w:val="00590714"/>
    <w:rsid w:val="0059403C"/>
    <w:rsid w:val="008D7880"/>
    <w:rsid w:val="00927B6D"/>
    <w:rsid w:val="00A658B1"/>
    <w:rsid w:val="00AA14AB"/>
    <w:rsid w:val="00AC123D"/>
    <w:rsid w:val="00B81CA9"/>
    <w:rsid w:val="00BA16BB"/>
    <w:rsid w:val="00C15DB9"/>
    <w:rsid w:val="00C4688D"/>
    <w:rsid w:val="00D05A79"/>
    <w:rsid w:val="00DF006B"/>
    <w:rsid w:val="00E646F2"/>
    <w:rsid w:val="00E74F3C"/>
    <w:rsid w:val="00EF19EA"/>
    <w:rsid w:val="00F076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3BC6C"/>
  <w15:docId w15:val="{767B8A92-79F4-4CC8-85D9-36D20CF4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uiPriority w:val="9"/>
    <w:unhideWhenUsed/>
    <w:qFormat/>
    <w:pPr>
      <w:keepNext/>
      <w:keepLines/>
      <w:spacing w:before="240" w:after="40"/>
      <w:outlineLvl w:val="3"/>
    </w:pPr>
    <w:rPr>
      <w:b/>
      <w:sz w:val="24"/>
      <w:szCs w:val="24"/>
    </w:rPr>
  </w:style>
  <w:style w:type="paragraph" w:styleId="Titolo5">
    <w:name w:val="heading 5"/>
    <w:basedOn w:val="Normale"/>
    <w:next w:val="Normale"/>
    <w:uiPriority w:val="9"/>
    <w:unhideWhenUsed/>
    <w:qFormat/>
    <w:pPr>
      <w:widowControl w:val="0"/>
      <w:pBdr>
        <w:top w:val="nil"/>
        <w:left w:val="nil"/>
        <w:bottom w:val="nil"/>
        <w:right w:val="nil"/>
        <w:between w:val="nil"/>
      </w:pBdr>
      <w:ind w:left="172" w:hanging="172"/>
      <w:jc w:val="both"/>
      <w:outlineLvl w:val="4"/>
    </w:pPr>
    <w:rPr>
      <w:b/>
      <w:color w:val="000000"/>
      <w:sz w:val="24"/>
      <w:szCs w:val="24"/>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 w:type="dxa"/>
        <w:right w:w="10" w:type="dxa"/>
      </w:tblCellMar>
    </w:tblPr>
  </w:style>
  <w:style w:type="paragraph" w:styleId="Revisione">
    <w:name w:val="Revision"/>
    <w:hidden/>
    <w:uiPriority w:val="99"/>
    <w:semiHidden/>
    <w:rsid w:val="00C15DB9"/>
  </w:style>
  <w:style w:type="paragraph" w:styleId="Paragrafoelenco">
    <w:name w:val="List Paragraph"/>
    <w:basedOn w:val="Normale"/>
    <w:uiPriority w:val="34"/>
    <w:qFormat/>
    <w:rsid w:val="00403EF9"/>
    <w:pPr>
      <w:spacing w:after="160" w:line="278" w:lineRule="auto"/>
      <w:ind w:left="720"/>
      <w:contextualSpacing/>
    </w:pPr>
    <w:rPr>
      <w:rFonts w:asciiTheme="minorHAnsi" w:eastAsiaTheme="minorHAnsi"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www.reteoncologicacampana.it/"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6CDA38-C290-4CDE-9965-4B2B091462D5}" type="doc">
      <dgm:prSet loTypeId="urn:microsoft.com/office/officeart/2005/8/layout/orgChart1" loCatId="hierarchy" qsTypeId="urn:microsoft.com/office/officeart/2005/8/quickstyle/simple1" qsCatId="simple" csTypeId="urn:microsoft.com/office/officeart/2005/8/colors/accent1_2" csCatId="accent1" phldr="1"/>
      <dgm:spPr/>
    </dgm:pt>
    <dgm:pt modelId="{403AE0F2-7884-4BF4-B42E-C2277E5CDF77}">
      <dgm:prSet custT="1"/>
      <dgm:spPr>
        <a:xfrm>
          <a:off x="2165429" y="826618"/>
          <a:ext cx="1789271" cy="894635"/>
        </a:xfrm>
        <a:prstGeom prst="flowChartAlternateProcess">
          <a:avLst/>
        </a:prstGeom>
        <a:solidFill>
          <a:srgbClr val="FFC000"/>
        </a:solidFill>
        <a:ln w="19050" cap="flat" cmpd="sng" algn="ctr">
          <a:solidFill>
            <a:sysClr val="windowText" lastClr="000000"/>
          </a:solidFill>
          <a:prstDash val="solid"/>
          <a:miter lim="800000"/>
        </a:ln>
        <a:effectLst/>
      </dgm:spPr>
      <dgm:t>
        <a:bodyPr/>
        <a:lstStyle/>
        <a:p>
          <a:pPr rtl="0">
            <a:buNone/>
          </a:pPr>
          <a:r>
            <a:rPr lang="it-IT" sz="1400" b="1">
              <a:solidFill>
                <a:sysClr val="windowText" lastClr="000000"/>
              </a:solidFill>
              <a:latin typeface="Times New Roman" panose="02020603050405020304" pitchFamily="18" charset="0"/>
              <a:ea typeface="+mn-ea"/>
              <a:cs typeface="Times New Roman" panose="02020603050405020304" pitchFamily="18" charset="0"/>
            </a:rPr>
            <a:t>Malattia localizzata </a:t>
          </a:r>
          <a:r>
            <a:rPr lang="it-IT" sz="1100" b="0">
              <a:solidFill>
                <a:sysClr val="windowText" lastClr="000000"/>
              </a:solidFill>
              <a:latin typeface="Times New Roman" panose="02020603050405020304" pitchFamily="18" charset="0"/>
              <a:ea typeface="+mn-ea"/>
              <a:cs typeface="Times New Roman" panose="02020603050405020304" pitchFamily="18" charset="0"/>
            </a:rPr>
            <a:t>Pembrolizumab adiuvante per 1 anno (da avviare entro 12 settimane dalla chirurgia)</a:t>
          </a:r>
        </a:p>
      </dgm:t>
    </dgm:pt>
    <dgm:pt modelId="{68990C50-9F53-487E-88D5-4C518FD01544}" type="parTrans" cxnId="{0B5E1EAD-D472-4D9D-A369-F1F3853F69B8}">
      <dgm:prSet/>
      <dgm:spPr/>
      <dgm:t>
        <a:bodyPr/>
        <a:lstStyle/>
        <a:p>
          <a:endParaRPr lang="it-IT"/>
        </a:p>
      </dgm:t>
    </dgm:pt>
    <dgm:pt modelId="{998D25E9-7C98-4FCF-874B-A044770514CB}" type="sibTrans" cxnId="{0B5E1EAD-D472-4D9D-A369-F1F3853F69B8}">
      <dgm:prSet/>
      <dgm:spPr/>
      <dgm:t>
        <a:bodyPr/>
        <a:lstStyle/>
        <a:p>
          <a:endParaRPr lang="it-IT"/>
        </a:p>
      </dgm:t>
    </dgm:pt>
    <dgm:pt modelId="{2CE124CA-A592-4B6E-BB85-763CEDF0AE50}">
      <dgm:prSet custT="1"/>
      <dgm:spPr>
        <a:xfrm>
          <a:off x="410" y="2097000"/>
          <a:ext cx="1789271" cy="894635"/>
        </a:xfrm>
        <a:prstGeom prst="roundRect">
          <a:avLst/>
        </a:prstGeom>
        <a:solidFill>
          <a:srgbClr val="FFC000"/>
        </a:solidFill>
        <a:ln w="19050" cap="flat" cmpd="sng" algn="ctr">
          <a:solidFill>
            <a:sysClr val="windowText" lastClr="000000"/>
          </a:solidFill>
          <a:prstDash val="solid"/>
          <a:miter lim="800000"/>
        </a:ln>
        <a:effectLst/>
      </dgm:spPr>
      <dgm:t>
        <a:bodyPr/>
        <a:lstStyle/>
        <a:p>
          <a:pPr rtl="0">
            <a:buNone/>
          </a:pPr>
          <a:r>
            <a:rPr lang="it-IT" sz="1200" b="1">
              <a:solidFill>
                <a:sysClr val="windowText" lastClr="000000"/>
              </a:solidFill>
              <a:latin typeface="Times New Roman" panose="02020603050405020304" pitchFamily="18" charset="0"/>
              <a:ea typeface="+mn-ea"/>
              <a:cs typeface="Times New Roman" panose="02020603050405020304" pitchFamily="18" charset="0"/>
            </a:rPr>
            <a:t>Intermedio-Alto Rischio</a:t>
          </a:r>
        </a:p>
        <a:p>
          <a:pPr rtl="0">
            <a:buNone/>
          </a:pPr>
          <a:r>
            <a:rPr lang="it-IT" sz="1100">
              <a:solidFill>
                <a:sysClr val="windowText" lastClr="000000"/>
              </a:solidFill>
              <a:latin typeface="Times New Roman" panose="02020603050405020304" pitchFamily="18" charset="0"/>
              <a:ea typeface="+mn-ea"/>
              <a:cs typeface="Times New Roman" panose="02020603050405020304" pitchFamily="18" charset="0"/>
            </a:rPr>
            <a:t>pT2G4 o sarcomatoide N0, pT3 qualsiasi G, N0 </a:t>
          </a:r>
          <a:endParaRPr lang="it-IT" sz="11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942DACE-5668-46ED-BBC7-294801C1FB6D}" type="parTrans" cxnId="{F09A90D5-BFFC-4A8D-9878-70ED3241D6FC}">
      <dgm:prSet/>
      <dgm:spPr>
        <a:xfrm>
          <a:off x="895046" y="1721254"/>
          <a:ext cx="2165018" cy="375746"/>
        </a:xfrm>
        <a:custGeom>
          <a:avLst/>
          <a:gdLst/>
          <a:ahLst/>
          <a:cxnLst/>
          <a:rect l="0" t="0" r="0" b="0"/>
          <a:pathLst>
            <a:path>
              <a:moveTo>
                <a:pt x="2272393" y="0"/>
              </a:moveTo>
              <a:lnTo>
                <a:pt x="2272393" y="197191"/>
              </a:lnTo>
              <a:lnTo>
                <a:pt x="0" y="197191"/>
              </a:lnTo>
              <a:lnTo>
                <a:pt x="0" y="394382"/>
              </a:lnTo>
            </a:path>
          </a:pathLst>
        </a:custGeom>
        <a:noFill/>
        <a:ln w="19050" cap="flat" cmpd="sng" algn="ctr">
          <a:solidFill>
            <a:sysClr val="windowText" lastClr="000000"/>
          </a:solidFill>
          <a:prstDash val="solid"/>
          <a:miter lim="800000"/>
        </a:ln>
        <a:effectLst/>
      </dgm:spPr>
      <dgm:t>
        <a:bodyPr/>
        <a:lstStyle/>
        <a:p>
          <a:endParaRPr lang="it-IT">
            <a:solidFill>
              <a:sysClr val="windowText" lastClr="000000"/>
            </a:solidFill>
          </a:endParaRPr>
        </a:p>
      </dgm:t>
    </dgm:pt>
    <dgm:pt modelId="{89C69ABF-1547-48E9-A0EE-65882368AB7B}" type="sibTrans" cxnId="{F09A90D5-BFFC-4A8D-9878-70ED3241D6FC}">
      <dgm:prSet/>
      <dgm:spPr/>
      <dgm:t>
        <a:bodyPr/>
        <a:lstStyle/>
        <a:p>
          <a:endParaRPr lang="it-IT"/>
        </a:p>
      </dgm:t>
    </dgm:pt>
    <dgm:pt modelId="{DADC6AAB-5701-4DE3-84E2-B70EF1EF36C7}">
      <dgm:prSet custT="1"/>
      <dgm:spPr>
        <a:xfrm>
          <a:off x="2165429" y="2097000"/>
          <a:ext cx="1789271" cy="894635"/>
        </a:xfrm>
        <a:prstGeom prst="roundRect">
          <a:avLst/>
        </a:prstGeom>
        <a:solidFill>
          <a:srgbClr val="FFC000"/>
        </a:solidFill>
        <a:ln w="19050" cap="flat" cmpd="sng" algn="ctr">
          <a:solidFill>
            <a:sysClr val="windowText" lastClr="000000"/>
          </a:solidFill>
          <a:prstDash val="solid"/>
          <a:miter lim="800000"/>
        </a:ln>
        <a:effectLst/>
      </dgm:spPr>
      <dgm:t>
        <a:bodyPr/>
        <a:lstStyle/>
        <a:p>
          <a:pPr rtl="0">
            <a:buNone/>
          </a:pPr>
          <a:r>
            <a:rPr lang="it-IT" sz="1200" b="1">
              <a:solidFill>
                <a:sysClr val="windowText" lastClr="000000"/>
              </a:solidFill>
              <a:latin typeface="Times New Roman" panose="02020603050405020304" pitchFamily="18" charset="0"/>
              <a:ea typeface="+mn-ea"/>
              <a:cs typeface="Times New Roman" panose="02020603050405020304" pitchFamily="18" charset="0"/>
            </a:rPr>
            <a:t>Alto Rischio</a:t>
          </a:r>
        </a:p>
        <a:p>
          <a:pPr rtl="0">
            <a:buNone/>
          </a:pPr>
          <a:r>
            <a:rPr lang="it-IT" sz="1100">
              <a:solidFill>
                <a:sysClr val="windowText" lastClr="000000"/>
              </a:solidFill>
              <a:latin typeface="Times New Roman" panose="02020603050405020304" pitchFamily="18" charset="0"/>
              <a:ea typeface="+mn-ea"/>
              <a:cs typeface="Times New Roman" panose="02020603050405020304" pitchFamily="18" charset="0"/>
            </a:rPr>
            <a:t>pT4 qualsiasi G, N0</a:t>
          </a:r>
        </a:p>
        <a:p>
          <a:pPr rtl="0">
            <a:buNone/>
          </a:pPr>
          <a:r>
            <a:rPr lang="it-IT" sz="1100">
              <a:solidFill>
                <a:sysClr val="windowText" lastClr="000000"/>
              </a:solidFill>
              <a:latin typeface="Times New Roman" panose="02020603050405020304" pitchFamily="18" charset="0"/>
              <a:ea typeface="+mn-ea"/>
              <a:cs typeface="Times New Roman" panose="02020603050405020304" pitchFamily="18" charset="0"/>
            </a:rPr>
            <a:t>Qualsiasi pT, qualsiasi G, N+ </a:t>
          </a:r>
          <a:endParaRPr lang="it-IT" sz="1100" b="1">
            <a:solidFill>
              <a:sysClr val="windowText" lastClr="000000"/>
            </a:solidFill>
            <a:latin typeface="Times New Roman" panose="02020603050405020304" pitchFamily="18" charset="0"/>
            <a:ea typeface="+mn-ea"/>
            <a:cs typeface="Times New Roman" panose="02020603050405020304" pitchFamily="18" charset="0"/>
          </a:endParaRPr>
        </a:p>
      </dgm:t>
    </dgm:pt>
    <dgm:pt modelId="{9E9CF9CC-AAB3-43C9-AD69-EEDF19DE1E16}" type="parTrans" cxnId="{FAA83A6B-373A-4573-B82F-30B29C62A0DE}">
      <dgm:prSet/>
      <dgm:spPr>
        <a:xfrm>
          <a:off x="3014344" y="1721254"/>
          <a:ext cx="91440" cy="375746"/>
        </a:xfrm>
        <a:custGeom>
          <a:avLst/>
          <a:gdLst/>
          <a:ahLst/>
          <a:cxnLst/>
          <a:rect l="0" t="0" r="0" b="0"/>
          <a:pathLst>
            <a:path>
              <a:moveTo>
                <a:pt x="45720" y="0"/>
              </a:moveTo>
              <a:lnTo>
                <a:pt x="45720" y="394382"/>
              </a:lnTo>
            </a:path>
          </a:pathLst>
        </a:custGeom>
        <a:noFill/>
        <a:ln w="19050" cap="flat" cmpd="sng" algn="ctr">
          <a:solidFill>
            <a:sysClr val="windowText" lastClr="000000"/>
          </a:solidFill>
          <a:prstDash val="solid"/>
          <a:miter lim="800000"/>
        </a:ln>
        <a:effectLst/>
      </dgm:spPr>
      <dgm:t>
        <a:bodyPr/>
        <a:lstStyle/>
        <a:p>
          <a:endParaRPr lang="it-IT">
            <a:solidFill>
              <a:sysClr val="windowText" lastClr="000000"/>
            </a:solidFill>
          </a:endParaRPr>
        </a:p>
      </dgm:t>
    </dgm:pt>
    <dgm:pt modelId="{64FDECF2-3ECB-4600-9BC1-F3C47BD8A6C2}" type="sibTrans" cxnId="{FAA83A6B-373A-4573-B82F-30B29C62A0DE}">
      <dgm:prSet/>
      <dgm:spPr/>
      <dgm:t>
        <a:bodyPr/>
        <a:lstStyle/>
        <a:p>
          <a:endParaRPr lang="it-IT"/>
        </a:p>
      </dgm:t>
    </dgm:pt>
    <dgm:pt modelId="{22E00909-5677-4533-8387-B369C3F7EB22}">
      <dgm:prSet custT="1"/>
      <dgm:spPr>
        <a:xfrm>
          <a:off x="4330447" y="2097000"/>
          <a:ext cx="1789271" cy="894635"/>
        </a:xfrm>
        <a:prstGeom prst="roundRect">
          <a:avLst/>
        </a:prstGeom>
        <a:solidFill>
          <a:srgbClr val="FFC000"/>
        </a:solidFill>
        <a:ln w="19050" cap="flat" cmpd="sng" algn="ctr">
          <a:solidFill>
            <a:sysClr val="windowText" lastClr="000000"/>
          </a:solidFill>
          <a:prstDash val="solid"/>
          <a:miter lim="800000"/>
        </a:ln>
        <a:effectLst/>
      </dgm:spPr>
      <dgm:t>
        <a:bodyPr/>
        <a:lstStyle/>
        <a:p>
          <a:pPr rtl="0">
            <a:buNone/>
          </a:pPr>
          <a:r>
            <a:rPr lang="it-IT" sz="1200" b="1">
              <a:solidFill>
                <a:sysClr val="windowText" lastClr="000000"/>
              </a:solidFill>
              <a:latin typeface="Times New Roman" panose="02020603050405020304" pitchFamily="18" charset="0"/>
              <a:ea typeface="+mn-ea"/>
              <a:cs typeface="Times New Roman" panose="02020603050405020304" pitchFamily="18" charset="0"/>
            </a:rPr>
            <a:t>M1 NED</a:t>
          </a:r>
        </a:p>
        <a:p>
          <a:pPr rtl="0">
            <a:buNone/>
          </a:pPr>
          <a:r>
            <a:rPr lang="it-IT" sz="1100" b="0">
              <a:solidFill>
                <a:sysClr val="windowText" lastClr="000000"/>
              </a:solidFill>
              <a:latin typeface="Times New Roman" panose="02020603050405020304" pitchFamily="18" charset="0"/>
              <a:ea typeface="+mn-ea"/>
              <a:cs typeface="Times New Roman" panose="02020603050405020304" pitchFamily="18" charset="0"/>
            </a:rPr>
            <a:t>Non evidenza di malattia residua dopo resezione di metastasi (entro 1 anno dalla nefrectomia)</a:t>
          </a:r>
        </a:p>
      </dgm:t>
    </dgm:pt>
    <dgm:pt modelId="{15326185-D524-480F-9FB1-2270BEC6F375}" type="parTrans" cxnId="{7E14403D-2721-4548-926D-1B4F7B6C0551}">
      <dgm:prSet/>
      <dgm:spPr>
        <a:xfrm>
          <a:off x="3060064" y="1721254"/>
          <a:ext cx="2165018" cy="375746"/>
        </a:xfrm>
        <a:custGeom>
          <a:avLst/>
          <a:gdLst/>
          <a:ahLst/>
          <a:cxnLst/>
          <a:rect l="0" t="0" r="0" b="0"/>
          <a:pathLst>
            <a:path>
              <a:moveTo>
                <a:pt x="0" y="0"/>
              </a:moveTo>
              <a:lnTo>
                <a:pt x="0" y="197191"/>
              </a:lnTo>
              <a:lnTo>
                <a:pt x="2272393" y="197191"/>
              </a:lnTo>
              <a:lnTo>
                <a:pt x="2272393" y="394382"/>
              </a:lnTo>
            </a:path>
          </a:pathLst>
        </a:custGeom>
        <a:noFill/>
        <a:ln w="19050" cap="flat" cmpd="sng" algn="ctr">
          <a:solidFill>
            <a:sysClr val="windowText" lastClr="000000"/>
          </a:solidFill>
          <a:prstDash val="solid"/>
          <a:miter lim="800000"/>
        </a:ln>
        <a:effectLst/>
      </dgm:spPr>
      <dgm:t>
        <a:bodyPr/>
        <a:lstStyle/>
        <a:p>
          <a:endParaRPr lang="it-IT">
            <a:solidFill>
              <a:sysClr val="windowText" lastClr="000000"/>
            </a:solidFill>
          </a:endParaRPr>
        </a:p>
      </dgm:t>
    </dgm:pt>
    <dgm:pt modelId="{97D8DAAB-FDD6-41C9-B0D9-F3ADDFECA5DB}" type="sibTrans" cxnId="{7E14403D-2721-4548-926D-1B4F7B6C0551}">
      <dgm:prSet/>
      <dgm:spPr/>
      <dgm:t>
        <a:bodyPr/>
        <a:lstStyle/>
        <a:p>
          <a:endParaRPr lang="it-IT"/>
        </a:p>
      </dgm:t>
    </dgm:pt>
    <dgm:pt modelId="{F8EC8F7F-8E56-4520-9DE9-D054BC5D8841}" type="pres">
      <dgm:prSet presAssocID="{DD6CDA38-C290-4CDE-9965-4B2B091462D5}" presName="hierChild1" presStyleCnt="0">
        <dgm:presLayoutVars>
          <dgm:orgChart val="1"/>
          <dgm:chPref val="1"/>
          <dgm:dir/>
          <dgm:animOne val="branch"/>
          <dgm:animLvl val="lvl"/>
          <dgm:resizeHandles/>
        </dgm:presLayoutVars>
      </dgm:prSet>
      <dgm:spPr/>
    </dgm:pt>
    <dgm:pt modelId="{CA7BDFA3-D305-4E18-BB39-7B1EFB167CBF}" type="pres">
      <dgm:prSet presAssocID="{403AE0F2-7884-4BF4-B42E-C2277E5CDF77}" presName="hierRoot1" presStyleCnt="0">
        <dgm:presLayoutVars>
          <dgm:hierBranch/>
        </dgm:presLayoutVars>
      </dgm:prSet>
      <dgm:spPr/>
    </dgm:pt>
    <dgm:pt modelId="{E3CB1734-3A70-4B13-82AD-0A809C37DAC0}" type="pres">
      <dgm:prSet presAssocID="{403AE0F2-7884-4BF4-B42E-C2277E5CDF77}" presName="rootComposite1" presStyleCnt="0"/>
      <dgm:spPr/>
    </dgm:pt>
    <dgm:pt modelId="{86CA2A23-C1A6-4C34-B3C8-64637F050902}" type="pres">
      <dgm:prSet presAssocID="{403AE0F2-7884-4BF4-B42E-C2277E5CDF77}" presName="rootText1" presStyleLbl="node0" presStyleIdx="0" presStyleCnt="1">
        <dgm:presLayoutVars>
          <dgm:chPref val="3"/>
        </dgm:presLayoutVars>
      </dgm:prSet>
      <dgm:spPr>
        <a:prstGeom prst="flowChartAlternateProcess">
          <a:avLst/>
        </a:prstGeom>
      </dgm:spPr>
    </dgm:pt>
    <dgm:pt modelId="{D20CF426-F24F-4E24-ABED-DE7EEFEF9C57}" type="pres">
      <dgm:prSet presAssocID="{403AE0F2-7884-4BF4-B42E-C2277E5CDF77}" presName="rootConnector1" presStyleLbl="node1" presStyleIdx="0" presStyleCnt="0"/>
      <dgm:spPr/>
    </dgm:pt>
    <dgm:pt modelId="{AAB90101-B1D0-4707-B295-6907A1C185C6}" type="pres">
      <dgm:prSet presAssocID="{403AE0F2-7884-4BF4-B42E-C2277E5CDF77}" presName="hierChild2" presStyleCnt="0"/>
      <dgm:spPr/>
    </dgm:pt>
    <dgm:pt modelId="{42A7F1E8-4AD8-4D1A-9251-53FA459FDAC9}" type="pres">
      <dgm:prSet presAssocID="{3942DACE-5668-46ED-BBC7-294801C1FB6D}" presName="Name35" presStyleLbl="parChTrans1D2" presStyleIdx="0" presStyleCnt="3"/>
      <dgm:spPr/>
    </dgm:pt>
    <dgm:pt modelId="{4739C51A-233D-4D4A-B55B-96E879196208}" type="pres">
      <dgm:prSet presAssocID="{2CE124CA-A592-4B6E-BB85-763CEDF0AE50}" presName="hierRoot2" presStyleCnt="0">
        <dgm:presLayoutVars>
          <dgm:hierBranch/>
        </dgm:presLayoutVars>
      </dgm:prSet>
      <dgm:spPr/>
    </dgm:pt>
    <dgm:pt modelId="{B8AB0F42-56C7-47F1-B5E1-A883A825EA8E}" type="pres">
      <dgm:prSet presAssocID="{2CE124CA-A592-4B6E-BB85-763CEDF0AE50}" presName="rootComposite" presStyleCnt="0"/>
      <dgm:spPr/>
    </dgm:pt>
    <dgm:pt modelId="{9F399F26-ED46-479B-8885-B22140C15267}" type="pres">
      <dgm:prSet presAssocID="{2CE124CA-A592-4B6E-BB85-763CEDF0AE50}" presName="rootText" presStyleLbl="node2" presStyleIdx="0" presStyleCnt="3">
        <dgm:presLayoutVars>
          <dgm:chPref val="3"/>
        </dgm:presLayoutVars>
      </dgm:prSet>
      <dgm:spPr>
        <a:prstGeom prst="roundRect">
          <a:avLst/>
        </a:prstGeom>
      </dgm:spPr>
    </dgm:pt>
    <dgm:pt modelId="{FF8E8F99-C99A-4762-8434-F71A41C7BFB8}" type="pres">
      <dgm:prSet presAssocID="{2CE124CA-A592-4B6E-BB85-763CEDF0AE50}" presName="rootConnector" presStyleLbl="node2" presStyleIdx="0" presStyleCnt="3"/>
      <dgm:spPr/>
    </dgm:pt>
    <dgm:pt modelId="{4055FF9B-1151-4ECD-A450-41D5F276DDDD}" type="pres">
      <dgm:prSet presAssocID="{2CE124CA-A592-4B6E-BB85-763CEDF0AE50}" presName="hierChild4" presStyleCnt="0"/>
      <dgm:spPr/>
    </dgm:pt>
    <dgm:pt modelId="{1FF1E4FC-E517-4174-834A-F259E5E34F20}" type="pres">
      <dgm:prSet presAssocID="{2CE124CA-A592-4B6E-BB85-763CEDF0AE50}" presName="hierChild5" presStyleCnt="0"/>
      <dgm:spPr/>
    </dgm:pt>
    <dgm:pt modelId="{641AA04F-1944-4626-B547-8DE20A93A6D8}" type="pres">
      <dgm:prSet presAssocID="{9E9CF9CC-AAB3-43C9-AD69-EEDF19DE1E16}" presName="Name35" presStyleLbl="parChTrans1D2" presStyleIdx="1" presStyleCnt="3"/>
      <dgm:spPr/>
    </dgm:pt>
    <dgm:pt modelId="{D551395E-C62D-4B8F-BFBD-1437E0318494}" type="pres">
      <dgm:prSet presAssocID="{DADC6AAB-5701-4DE3-84E2-B70EF1EF36C7}" presName="hierRoot2" presStyleCnt="0">
        <dgm:presLayoutVars>
          <dgm:hierBranch/>
        </dgm:presLayoutVars>
      </dgm:prSet>
      <dgm:spPr/>
    </dgm:pt>
    <dgm:pt modelId="{5667A794-E867-42BE-9727-2A5DF264C6D1}" type="pres">
      <dgm:prSet presAssocID="{DADC6AAB-5701-4DE3-84E2-B70EF1EF36C7}" presName="rootComposite" presStyleCnt="0"/>
      <dgm:spPr/>
    </dgm:pt>
    <dgm:pt modelId="{4D704305-EFF3-4AF6-BA16-C2F3BE61C4D2}" type="pres">
      <dgm:prSet presAssocID="{DADC6AAB-5701-4DE3-84E2-B70EF1EF36C7}" presName="rootText" presStyleLbl="node2" presStyleIdx="1" presStyleCnt="3">
        <dgm:presLayoutVars>
          <dgm:chPref val="3"/>
        </dgm:presLayoutVars>
      </dgm:prSet>
      <dgm:spPr>
        <a:prstGeom prst="roundRect">
          <a:avLst/>
        </a:prstGeom>
      </dgm:spPr>
    </dgm:pt>
    <dgm:pt modelId="{E522AFC3-2AA6-4B61-8D30-796B48396FE7}" type="pres">
      <dgm:prSet presAssocID="{DADC6AAB-5701-4DE3-84E2-B70EF1EF36C7}" presName="rootConnector" presStyleLbl="node2" presStyleIdx="1" presStyleCnt="3"/>
      <dgm:spPr/>
    </dgm:pt>
    <dgm:pt modelId="{FAD998D5-47A5-4AD5-BCDC-A3757FE25419}" type="pres">
      <dgm:prSet presAssocID="{DADC6AAB-5701-4DE3-84E2-B70EF1EF36C7}" presName="hierChild4" presStyleCnt="0"/>
      <dgm:spPr/>
    </dgm:pt>
    <dgm:pt modelId="{BEAEF530-5974-44D8-AB06-68BC2BD70A0D}" type="pres">
      <dgm:prSet presAssocID="{DADC6AAB-5701-4DE3-84E2-B70EF1EF36C7}" presName="hierChild5" presStyleCnt="0"/>
      <dgm:spPr/>
    </dgm:pt>
    <dgm:pt modelId="{EC6F77BA-09D1-4176-8847-643F30B65788}" type="pres">
      <dgm:prSet presAssocID="{15326185-D524-480F-9FB1-2270BEC6F375}" presName="Name35" presStyleLbl="parChTrans1D2" presStyleIdx="2" presStyleCnt="3"/>
      <dgm:spPr/>
    </dgm:pt>
    <dgm:pt modelId="{CC9F7DC1-21E7-430B-BADE-41BC0243A6C7}" type="pres">
      <dgm:prSet presAssocID="{22E00909-5677-4533-8387-B369C3F7EB22}" presName="hierRoot2" presStyleCnt="0">
        <dgm:presLayoutVars>
          <dgm:hierBranch/>
        </dgm:presLayoutVars>
      </dgm:prSet>
      <dgm:spPr/>
    </dgm:pt>
    <dgm:pt modelId="{3903A326-0DC8-4678-8B47-D44264786FB1}" type="pres">
      <dgm:prSet presAssocID="{22E00909-5677-4533-8387-B369C3F7EB22}" presName="rootComposite" presStyleCnt="0"/>
      <dgm:spPr/>
    </dgm:pt>
    <dgm:pt modelId="{5D2CC8B1-DA4A-456B-92ED-B31D5D267723}" type="pres">
      <dgm:prSet presAssocID="{22E00909-5677-4533-8387-B369C3F7EB22}" presName="rootText" presStyleLbl="node2" presStyleIdx="2" presStyleCnt="3">
        <dgm:presLayoutVars>
          <dgm:chPref val="3"/>
        </dgm:presLayoutVars>
      </dgm:prSet>
      <dgm:spPr>
        <a:prstGeom prst="roundRect">
          <a:avLst/>
        </a:prstGeom>
      </dgm:spPr>
    </dgm:pt>
    <dgm:pt modelId="{F7CF5ECB-291B-434E-8A15-3848E6A4AB38}" type="pres">
      <dgm:prSet presAssocID="{22E00909-5677-4533-8387-B369C3F7EB22}" presName="rootConnector" presStyleLbl="node2" presStyleIdx="2" presStyleCnt="3"/>
      <dgm:spPr/>
    </dgm:pt>
    <dgm:pt modelId="{2B4A1BCB-4A84-43FA-B4BF-980DF611B134}" type="pres">
      <dgm:prSet presAssocID="{22E00909-5677-4533-8387-B369C3F7EB22}" presName="hierChild4" presStyleCnt="0"/>
      <dgm:spPr/>
    </dgm:pt>
    <dgm:pt modelId="{818E035D-82B6-41A8-8B94-9FA9FAE5BCA6}" type="pres">
      <dgm:prSet presAssocID="{22E00909-5677-4533-8387-B369C3F7EB22}" presName="hierChild5" presStyleCnt="0"/>
      <dgm:spPr/>
    </dgm:pt>
    <dgm:pt modelId="{25D6C156-95B5-4EB8-95AB-F84EC51D0349}" type="pres">
      <dgm:prSet presAssocID="{403AE0F2-7884-4BF4-B42E-C2277E5CDF77}" presName="hierChild3" presStyleCnt="0"/>
      <dgm:spPr/>
    </dgm:pt>
  </dgm:ptLst>
  <dgm:cxnLst>
    <dgm:cxn modelId="{159C4904-62E5-4669-858E-C20BBCD371FC}" type="presOf" srcId="{403AE0F2-7884-4BF4-B42E-C2277E5CDF77}" destId="{86CA2A23-C1A6-4C34-B3C8-64637F050902}" srcOrd="0" destOrd="0" presId="urn:microsoft.com/office/officeart/2005/8/layout/orgChart1"/>
    <dgm:cxn modelId="{7E14403D-2721-4548-926D-1B4F7B6C0551}" srcId="{403AE0F2-7884-4BF4-B42E-C2277E5CDF77}" destId="{22E00909-5677-4533-8387-B369C3F7EB22}" srcOrd="2" destOrd="0" parTransId="{15326185-D524-480F-9FB1-2270BEC6F375}" sibTransId="{97D8DAAB-FDD6-41C9-B0D9-F3ADDFECA5DB}"/>
    <dgm:cxn modelId="{DB278661-0D7C-4963-AA48-F61121BD1152}" type="presOf" srcId="{DADC6AAB-5701-4DE3-84E2-B70EF1EF36C7}" destId="{4D704305-EFF3-4AF6-BA16-C2F3BE61C4D2}" srcOrd="0" destOrd="0" presId="urn:microsoft.com/office/officeart/2005/8/layout/orgChart1"/>
    <dgm:cxn modelId="{4C06D641-6338-44CF-9B7A-348381F4569F}" type="presOf" srcId="{403AE0F2-7884-4BF4-B42E-C2277E5CDF77}" destId="{D20CF426-F24F-4E24-ABED-DE7EEFEF9C57}" srcOrd="1" destOrd="0" presId="urn:microsoft.com/office/officeart/2005/8/layout/orgChart1"/>
    <dgm:cxn modelId="{FAA83A6B-373A-4573-B82F-30B29C62A0DE}" srcId="{403AE0F2-7884-4BF4-B42E-C2277E5CDF77}" destId="{DADC6AAB-5701-4DE3-84E2-B70EF1EF36C7}" srcOrd="1" destOrd="0" parTransId="{9E9CF9CC-AAB3-43C9-AD69-EEDF19DE1E16}" sibTransId="{64FDECF2-3ECB-4600-9BC1-F3C47BD8A6C2}"/>
    <dgm:cxn modelId="{94306272-D32A-4D26-A120-B1B8E7E9029B}" type="presOf" srcId="{22E00909-5677-4533-8387-B369C3F7EB22}" destId="{F7CF5ECB-291B-434E-8A15-3848E6A4AB38}" srcOrd="1" destOrd="0" presId="urn:microsoft.com/office/officeart/2005/8/layout/orgChart1"/>
    <dgm:cxn modelId="{535C6252-C4F9-4338-8A0E-F62ED823B1F3}" type="presOf" srcId="{DADC6AAB-5701-4DE3-84E2-B70EF1EF36C7}" destId="{E522AFC3-2AA6-4B61-8D30-796B48396FE7}" srcOrd="1" destOrd="0" presId="urn:microsoft.com/office/officeart/2005/8/layout/orgChart1"/>
    <dgm:cxn modelId="{05E3C874-65D4-41E9-919F-D98191F8E3D0}" type="presOf" srcId="{DD6CDA38-C290-4CDE-9965-4B2B091462D5}" destId="{F8EC8F7F-8E56-4520-9DE9-D054BC5D8841}" srcOrd="0" destOrd="0" presId="urn:microsoft.com/office/officeart/2005/8/layout/orgChart1"/>
    <dgm:cxn modelId="{F196C175-C915-4915-AFD5-2F48D08F1FAE}" type="presOf" srcId="{2CE124CA-A592-4B6E-BB85-763CEDF0AE50}" destId="{9F399F26-ED46-479B-8885-B22140C15267}" srcOrd="0" destOrd="0" presId="urn:microsoft.com/office/officeart/2005/8/layout/orgChart1"/>
    <dgm:cxn modelId="{1FA06A57-A84C-4296-B85F-BAD8FBE6938A}" type="presOf" srcId="{22E00909-5677-4533-8387-B369C3F7EB22}" destId="{5D2CC8B1-DA4A-456B-92ED-B31D5D267723}" srcOrd="0" destOrd="0" presId="urn:microsoft.com/office/officeart/2005/8/layout/orgChart1"/>
    <dgm:cxn modelId="{F2E1D257-F377-4D34-AA6C-6717F225C37C}" type="presOf" srcId="{15326185-D524-480F-9FB1-2270BEC6F375}" destId="{EC6F77BA-09D1-4176-8847-643F30B65788}" srcOrd="0" destOrd="0" presId="urn:microsoft.com/office/officeart/2005/8/layout/orgChart1"/>
    <dgm:cxn modelId="{0B5E1EAD-D472-4D9D-A369-F1F3853F69B8}" srcId="{DD6CDA38-C290-4CDE-9965-4B2B091462D5}" destId="{403AE0F2-7884-4BF4-B42E-C2277E5CDF77}" srcOrd="0" destOrd="0" parTransId="{68990C50-9F53-487E-88D5-4C518FD01544}" sibTransId="{998D25E9-7C98-4FCF-874B-A044770514CB}"/>
    <dgm:cxn modelId="{F09A90D5-BFFC-4A8D-9878-70ED3241D6FC}" srcId="{403AE0F2-7884-4BF4-B42E-C2277E5CDF77}" destId="{2CE124CA-A592-4B6E-BB85-763CEDF0AE50}" srcOrd="0" destOrd="0" parTransId="{3942DACE-5668-46ED-BBC7-294801C1FB6D}" sibTransId="{89C69ABF-1547-48E9-A0EE-65882368AB7B}"/>
    <dgm:cxn modelId="{BB1D0FDE-2FF5-48D4-ABE5-1B88B406180E}" type="presOf" srcId="{2CE124CA-A592-4B6E-BB85-763CEDF0AE50}" destId="{FF8E8F99-C99A-4762-8434-F71A41C7BFB8}" srcOrd="1" destOrd="0" presId="urn:microsoft.com/office/officeart/2005/8/layout/orgChart1"/>
    <dgm:cxn modelId="{FEA10BDF-B1CC-4E28-93EA-5853E5727A18}" type="presOf" srcId="{9E9CF9CC-AAB3-43C9-AD69-EEDF19DE1E16}" destId="{641AA04F-1944-4626-B547-8DE20A93A6D8}" srcOrd="0" destOrd="0" presId="urn:microsoft.com/office/officeart/2005/8/layout/orgChart1"/>
    <dgm:cxn modelId="{3E7601FF-4E61-4691-818A-9931712A1094}" type="presOf" srcId="{3942DACE-5668-46ED-BBC7-294801C1FB6D}" destId="{42A7F1E8-4AD8-4D1A-9251-53FA459FDAC9}" srcOrd="0" destOrd="0" presId="urn:microsoft.com/office/officeart/2005/8/layout/orgChart1"/>
    <dgm:cxn modelId="{4507F13B-827A-4AFB-A546-EC80E0EAD4EC}" type="presParOf" srcId="{F8EC8F7F-8E56-4520-9DE9-D054BC5D8841}" destId="{CA7BDFA3-D305-4E18-BB39-7B1EFB167CBF}" srcOrd="0" destOrd="0" presId="urn:microsoft.com/office/officeart/2005/8/layout/orgChart1"/>
    <dgm:cxn modelId="{787151D1-5511-4C87-8572-A1475546E5A3}" type="presParOf" srcId="{CA7BDFA3-D305-4E18-BB39-7B1EFB167CBF}" destId="{E3CB1734-3A70-4B13-82AD-0A809C37DAC0}" srcOrd="0" destOrd="0" presId="urn:microsoft.com/office/officeart/2005/8/layout/orgChart1"/>
    <dgm:cxn modelId="{7C21E5F7-9AB8-4575-8EAE-790D259F0B1B}" type="presParOf" srcId="{E3CB1734-3A70-4B13-82AD-0A809C37DAC0}" destId="{86CA2A23-C1A6-4C34-B3C8-64637F050902}" srcOrd="0" destOrd="0" presId="urn:microsoft.com/office/officeart/2005/8/layout/orgChart1"/>
    <dgm:cxn modelId="{EBD008ED-59AA-48F5-B328-334BE49AEEDD}" type="presParOf" srcId="{E3CB1734-3A70-4B13-82AD-0A809C37DAC0}" destId="{D20CF426-F24F-4E24-ABED-DE7EEFEF9C57}" srcOrd="1" destOrd="0" presId="urn:microsoft.com/office/officeart/2005/8/layout/orgChart1"/>
    <dgm:cxn modelId="{71ADD441-40FC-4981-8747-3FB1784AB7C1}" type="presParOf" srcId="{CA7BDFA3-D305-4E18-BB39-7B1EFB167CBF}" destId="{AAB90101-B1D0-4707-B295-6907A1C185C6}" srcOrd="1" destOrd="0" presId="urn:microsoft.com/office/officeart/2005/8/layout/orgChart1"/>
    <dgm:cxn modelId="{B6D2748C-11B9-4AAA-BD16-0071B4DA1BF7}" type="presParOf" srcId="{AAB90101-B1D0-4707-B295-6907A1C185C6}" destId="{42A7F1E8-4AD8-4D1A-9251-53FA459FDAC9}" srcOrd="0" destOrd="0" presId="urn:microsoft.com/office/officeart/2005/8/layout/orgChart1"/>
    <dgm:cxn modelId="{6C82DFE2-AA8B-4492-9EA2-A93FB6B0E39E}" type="presParOf" srcId="{AAB90101-B1D0-4707-B295-6907A1C185C6}" destId="{4739C51A-233D-4D4A-B55B-96E879196208}" srcOrd="1" destOrd="0" presId="urn:microsoft.com/office/officeart/2005/8/layout/orgChart1"/>
    <dgm:cxn modelId="{A146972C-8A13-4FE8-BB94-2E742CBE61D1}" type="presParOf" srcId="{4739C51A-233D-4D4A-B55B-96E879196208}" destId="{B8AB0F42-56C7-47F1-B5E1-A883A825EA8E}" srcOrd="0" destOrd="0" presId="urn:microsoft.com/office/officeart/2005/8/layout/orgChart1"/>
    <dgm:cxn modelId="{A0910D04-1FD0-4312-92D9-08DFEF664295}" type="presParOf" srcId="{B8AB0F42-56C7-47F1-B5E1-A883A825EA8E}" destId="{9F399F26-ED46-479B-8885-B22140C15267}" srcOrd="0" destOrd="0" presId="urn:microsoft.com/office/officeart/2005/8/layout/orgChart1"/>
    <dgm:cxn modelId="{D1C2E83A-D4EA-4912-BFB6-C7D4FBC6150D}" type="presParOf" srcId="{B8AB0F42-56C7-47F1-B5E1-A883A825EA8E}" destId="{FF8E8F99-C99A-4762-8434-F71A41C7BFB8}" srcOrd="1" destOrd="0" presId="urn:microsoft.com/office/officeart/2005/8/layout/orgChart1"/>
    <dgm:cxn modelId="{DACC4234-051E-419E-84B7-5D090E926FB0}" type="presParOf" srcId="{4739C51A-233D-4D4A-B55B-96E879196208}" destId="{4055FF9B-1151-4ECD-A450-41D5F276DDDD}" srcOrd="1" destOrd="0" presId="urn:microsoft.com/office/officeart/2005/8/layout/orgChart1"/>
    <dgm:cxn modelId="{55B14F6A-E1E2-4905-82A7-1C60CD3AA4BD}" type="presParOf" srcId="{4739C51A-233D-4D4A-B55B-96E879196208}" destId="{1FF1E4FC-E517-4174-834A-F259E5E34F20}" srcOrd="2" destOrd="0" presId="urn:microsoft.com/office/officeart/2005/8/layout/orgChart1"/>
    <dgm:cxn modelId="{BE14CE8D-3555-4841-9CD2-524C9672827C}" type="presParOf" srcId="{AAB90101-B1D0-4707-B295-6907A1C185C6}" destId="{641AA04F-1944-4626-B547-8DE20A93A6D8}" srcOrd="2" destOrd="0" presId="urn:microsoft.com/office/officeart/2005/8/layout/orgChart1"/>
    <dgm:cxn modelId="{5364A0F0-D271-4C43-B23B-73984293446E}" type="presParOf" srcId="{AAB90101-B1D0-4707-B295-6907A1C185C6}" destId="{D551395E-C62D-4B8F-BFBD-1437E0318494}" srcOrd="3" destOrd="0" presId="urn:microsoft.com/office/officeart/2005/8/layout/orgChart1"/>
    <dgm:cxn modelId="{3154284B-33B3-416E-A394-799E52B29747}" type="presParOf" srcId="{D551395E-C62D-4B8F-BFBD-1437E0318494}" destId="{5667A794-E867-42BE-9727-2A5DF264C6D1}" srcOrd="0" destOrd="0" presId="urn:microsoft.com/office/officeart/2005/8/layout/orgChart1"/>
    <dgm:cxn modelId="{AE42F001-F847-4948-92BB-0C2E9E865988}" type="presParOf" srcId="{5667A794-E867-42BE-9727-2A5DF264C6D1}" destId="{4D704305-EFF3-4AF6-BA16-C2F3BE61C4D2}" srcOrd="0" destOrd="0" presId="urn:microsoft.com/office/officeart/2005/8/layout/orgChart1"/>
    <dgm:cxn modelId="{1E07447E-2922-4D5D-B3C9-FD2E015E34BF}" type="presParOf" srcId="{5667A794-E867-42BE-9727-2A5DF264C6D1}" destId="{E522AFC3-2AA6-4B61-8D30-796B48396FE7}" srcOrd="1" destOrd="0" presId="urn:microsoft.com/office/officeart/2005/8/layout/orgChart1"/>
    <dgm:cxn modelId="{DD2F076F-B081-4097-BEAB-75FA0BDA2AE5}" type="presParOf" srcId="{D551395E-C62D-4B8F-BFBD-1437E0318494}" destId="{FAD998D5-47A5-4AD5-BCDC-A3757FE25419}" srcOrd="1" destOrd="0" presId="urn:microsoft.com/office/officeart/2005/8/layout/orgChart1"/>
    <dgm:cxn modelId="{E97FD7CE-E03F-4315-B66E-7B9827D45F1E}" type="presParOf" srcId="{D551395E-C62D-4B8F-BFBD-1437E0318494}" destId="{BEAEF530-5974-44D8-AB06-68BC2BD70A0D}" srcOrd="2" destOrd="0" presId="urn:microsoft.com/office/officeart/2005/8/layout/orgChart1"/>
    <dgm:cxn modelId="{8C3B5474-E697-4C87-AA09-487D5D72FEF7}" type="presParOf" srcId="{AAB90101-B1D0-4707-B295-6907A1C185C6}" destId="{EC6F77BA-09D1-4176-8847-643F30B65788}" srcOrd="4" destOrd="0" presId="urn:microsoft.com/office/officeart/2005/8/layout/orgChart1"/>
    <dgm:cxn modelId="{4ACB3D40-498C-45EF-920E-F0BB397E93F5}" type="presParOf" srcId="{AAB90101-B1D0-4707-B295-6907A1C185C6}" destId="{CC9F7DC1-21E7-430B-BADE-41BC0243A6C7}" srcOrd="5" destOrd="0" presId="urn:microsoft.com/office/officeart/2005/8/layout/orgChart1"/>
    <dgm:cxn modelId="{B1391E5F-13A6-44D9-8B47-E2E8D3EFF6FD}" type="presParOf" srcId="{CC9F7DC1-21E7-430B-BADE-41BC0243A6C7}" destId="{3903A326-0DC8-4678-8B47-D44264786FB1}" srcOrd="0" destOrd="0" presId="urn:microsoft.com/office/officeart/2005/8/layout/orgChart1"/>
    <dgm:cxn modelId="{74015590-3F82-4B7F-BC45-9AF233F9E978}" type="presParOf" srcId="{3903A326-0DC8-4678-8B47-D44264786FB1}" destId="{5D2CC8B1-DA4A-456B-92ED-B31D5D267723}" srcOrd="0" destOrd="0" presId="urn:microsoft.com/office/officeart/2005/8/layout/orgChart1"/>
    <dgm:cxn modelId="{1595BC17-7389-48A7-83E1-8A44023E338C}" type="presParOf" srcId="{3903A326-0DC8-4678-8B47-D44264786FB1}" destId="{F7CF5ECB-291B-434E-8A15-3848E6A4AB38}" srcOrd="1" destOrd="0" presId="urn:microsoft.com/office/officeart/2005/8/layout/orgChart1"/>
    <dgm:cxn modelId="{3BC4A0A4-F5BC-42DD-88B3-7C6BC702A097}" type="presParOf" srcId="{CC9F7DC1-21E7-430B-BADE-41BC0243A6C7}" destId="{2B4A1BCB-4A84-43FA-B4BF-980DF611B134}" srcOrd="1" destOrd="0" presId="urn:microsoft.com/office/officeart/2005/8/layout/orgChart1"/>
    <dgm:cxn modelId="{DB9E4711-39D5-40BC-A16E-02C2C59831D8}" type="presParOf" srcId="{CC9F7DC1-21E7-430B-BADE-41BC0243A6C7}" destId="{818E035D-82B6-41A8-8B94-9FA9FAE5BCA6}" srcOrd="2" destOrd="0" presId="urn:microsoft.com/office/officeart/2005/8/layout/orgChart1"/>
    <dgm:cxn modelId="{5118430A-22A1-4F24-AFE0-92604D3BE3ED}" type="presParOf" srcId="{CA7BDFA3-D305-4E18-BB39-7B1EFB167CBF}" destId="{25D6C156-95B5-4EB8-95AB-F84EC51D0349}"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F77BA-09D1-4176-8847-643F30B65788}">
      <dsp:nvSpPr>
        <dsp:cNvPr id="0" name=""/>
        <dsp:cNvSpPr/>
      </dsp:nvSpPr>
      <dsp:spPr>
        <a:xfrm>
          <a:off x="3058160" y="1720182"/>
          <a:ext cx="2163670" cy="375513"/>
        </a:xfrm>
        <a:custGeom>
          <a:avLst/>
          <a:gdLst/>
          <a:ahLst/>
          <a:cxnLst/>
          <a:rect l="0" t="0" r="0" b="0"/>
          <a:pathLst>
            <a:path>
              <a:moveTo>
                <a:pt x="0" y="0"/>
              </a:moveTo>
              <a:lnTo>
                <a:pt x="0" y="197191"/>
              </a:lnTo>
              <a:lnTo>
                <a:pt x="2272393" y="197191"/>
              </a:lnTo>
              <a:lnTo>
                <a:pt x="2272393" y="394382"/>
              </a:lnTo>
            </a:path>
          </a:pathLst>
        </a:custGeom>
        <a:noFill/>
        <a:ln w="1905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41AA04F-1944-4626-B547-8DE20A93A6D8}">
      <dsp:nvSpPr>
        <dsp:cNvPr id="0" name=""/>
        <dsp:cNvSpPr/>
      </dsp:nvSpPr>
      <dsp:spPr>
        <a:xfrm>
          <a:off x="3012439" y="1720182"/>
          <a:ext cx="91440" cy="375513"/>
        </a:xfrm>
        <a:custGeom>
          <a:avLst/>
          <a:gdLst/>
          <a:ahLst/>
          <a:cxnLst/>
          <a:rect l="0" t="0" r="0" b="0"/>
          <a:pathLst>
            <a:path>
              <a:moveTo>
                <a:pt x="45720" y="0"/>
              </a:moveTo>
              <a:lnTo>
                <a:pt x="45720" y="394382"/>
              </a:lnTo>
            </a:path>
          </a:pathLst>
        </a:custGeom>
        <a:noFill/>
        <a:ln w="1905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42A7F1E8-4AD8-4D1A-9251-53FA459FDAC9}">
      <dsp:nvSpPr>
        <dsp:cNvPr id="0" name=""/>
        <dsp:cNvSpPr/>
      </dsp:nvSpPr>
      <dsp:spPr>
        <a:xfrm>
          <a:off x="894489" y="1720182"/>
          <a:ext cx="2163670" cy="375513"/>
        </a:xfrm>
        <a:custGeom>
          <a:avLst/>
          <a:gdLst/>
          <a:ahLst/>
          <a:cxnLst/>
          <a:rect l="0" t="0" r="0" b="0"/>
          <a:pathLst>
            <a:path>
              <a:moveTo>
                <a:pt x="2272393" y="0"/>
              </a:moveTo>
              <a:lnTo>
                <a:pt x="2272393" y="197191"/>
              </a:lnTo>
              <a:lnTo>
                <a:pt x="0" y="197191"/>
              </a:lnTo>
              <a:lnTo>
                <a:pt x="0" y="394382"/>
              </a:lnTo>
            </a:path>
          </a:pathLst>
        </a:custGeom>
        <a:noFill/>
        <a:ln w="1905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86CA2A23-C1A6-4C34-B3C8-64637F050902}">
      <dsp:nvSpPr>
        <dsp:cNvPr id="0" name=""/>
        <dsp:cNvSpPr/>
      </dsp:nvSpPr>
      <dsp:spPr>
        <a:xfrm>
          <a:off x="2164081" y="826103"/>
          <a:ext cx="1788157" cy="894078"/>
        </a:xfrm>
        <a:prstGeom prst="flowChartAlternateProcess">
          <a:avLst/>
        </a:prstGeom>
        <a:solidFill>
          <a:srgbClr val="FFC000"/>
        </a:solidFill>
        <a:ln w="190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0">
            <a:lnSpc>
              <a:spcPct val="90000"/>
            </a:lnSpc>
            <a:spcBef>
              <a:spcPct val="0"/>
            </a:spcBef>
            <a:spcAft>
              <a:spcPct val="35000"/>
            </a:spcAft>
            <a:buNone/>
          </a:pPr>
          <a:r>
            <a:rPr lang="it-IT" sz="1400" b="1" kern="1200">
              <a:solidFill>
                <a:sysClr val="windowText" lastClr="000000"/>
              </a:solidFill>
              <a:latin typeface="Times New Roman" panose="02020603050405020304" pitchFamily="18" charset="0"/>
              <a:ea typeface="+mn-ea"/>
              <a:cs typeface="Times New Roman" panose="02020603050405020304" pitchFamily="18" charset="0"/>
            </a:rPr>
            <a:t>Malattia localizzata </a:t>
          </a:r>
          <a:r>
            <a:rPr lang="it-IT" sz="1100" b="0" kern="1200">
              <a:solidFill>
                <a:sysClr val="windowText" lastClr="000000"/>
              </a:solidFill>
              <a:latin typeface="Times New Roman" panose="02020603050405020304" pitchFamily="18" charset="0"/>
              <a:ea typeface="+mn-ea"/>
              <a:cs typeface="Times New Roman" panose="02020603050405020304" pitchFamily="18" charset="0"/>
            </a:rPr>
            <a:t>Pembrolizumab adiuvante per 1 anno (da avviare entro 12 settimane dalla chirurgia)</a:t>
          </a:r>
        </a:p>
      </dsp:txBody>
      <dsp:txXfrm>
        <a:off x="2207725" y="869747"/>
        <a:ext cx="1700869" cy="806790"/>
      </dsp:txXfrm>
    </dsp:sp>
    <dsp:sp modelId="{9F399F26-ED46-479B-8885-B22140C15267}">
      <dsp:nvSpPr>
        <dsp:cNvPr id="0" name=""/>
        <dsp:cNvSpPr/>
      </dsp:nvSpPr>
      <dsp:spPr>
        <a:xfrm>
          <a:off x="410" y="2095695"/>
          <a:ext cx="1788157" cy="894078"/>
        </a:xfrm>
        <a:prstGeom prst="roundRect">
          <a:avLst/>
        </a:prstGeom>
        <a:solidFill>
          <a:srgbClr val="FFC000"/>
        </a:solidFill>
        <a:ln w="190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it-IT" sz="1200" b="1" kern="1200">
              <a:solidFill>
                <a:sysClr val="windowText" lastClr="000000"/>
              </a:solidFill>
              <a:latin typeface="Times New Roman" panose="02020603050405020304" pitchFamily="18" charset="0"/>
              <a:ea typeface="+mn-ea"/>
              <a:cs typeface="Times New Roman" panose="02020603050405020304" pitchFamily="18" charset="0"/>
            </a:rPr>
            <a:t>Intermedio-Alto Rischio</a:t>
          </a:r>
        </a:p>
        <a:p>
          <a:pPr marL="0" lvl="0" indent="0" algn="ctr" defTabSz="533400" rtl="0">
            <a:lnSpc>
              <a:spcPct val="90000"/>
            </a:lnSpc>
            <a:spcBef>
              <a:spcPct val="0"/>
            </a:spcBef>
            <a:spcAft>
              <a:spcPct val="35000"/>
            </a:spcAft>
            <a:buNone/>
          </a:pPr>
          <a:r>
            <a:rPr lang="it-IT" sz="1100" kern="1200">
              <a:solidFill>
                <a:sysClr val="windowText" lastClr="000000"/>
              </a:solidFill>
              <a:latin typeface="Times New Roman" panose="02020603050405020304" pitchFamily="18" charset="0"/>
              <a:ea typeface="+mn-ea"/>
              <a:cs typeface="Times New Roman" panose="02020603050405020304" pitchFamily="18" charset="0"/>
            </a:rPr>
            <a:t>pT2G4 o sarcomatoide N0, pT3 qualsiasi G, N0 </a:t>
          </a:r>
          <a:endParaRPr lang="it-IT" sz="11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055" y="2139340"/>
        <a:ext cx="1700867" cy="806788"/>
      </dsp:txXfrm>
    </dsp:sp>
    <dsp:sp modelId="{4D704305-EFF3-4AF6-BA16-C2F3BE61C4D2}">
      <dsp:nvSpPr>
        <dsp:cNvPr id="0" name=""/>
        <dsp:cNvSpPr/>
      </dsp:nvSpPr>
      <dsp:spPr>
        <a:xfrm>
          <a:off x="2164081" y="2095695"/>
          <a:ext cx="1788157" cy="894078"/>
        </a:xfrm>
        <a:prstGeom prst="roundRect">
          <a:avLst/>
        </a:prstGeom>
        <a:solidFill>
          <a:srgbClr val="FFC000"/>
        </a:solidFill>
        <a:ln w="190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it-IT" sz="1200" b="1" kern="1200">
              <a:solidFill>
                <a:sysClr val="windowText" lastClr="000000"/>
              </a:solidFill>
              <a:latin typeface="Times New Roman" panose="02020603050405020304" pitchFamily="18" charset="0"/>
              <a:ea typeface="+mn-ea"/>
              <a:cs typeface="Times New Roman" panose="02020603050405020304" pitchFamily="18" charset="0"/>
            </a:rPr>
            <a:t>Alto Rischio</a:t>
          </a:r>
        </a:p>
        <a:p>
          <a:pPr marL="0" lvl="0" indent="0" algn="ctr" defTabSz="533400" rtl="0">
            <a:lnSpc>
              <a:spcPct val="90000"/>
            </a:lnSpc>
            <a:spcBef>
              <a:spcPct val="0"/>
            </a:spcBef>
            <a:spcAft>
              <a:spcPct val="35000"/>
            </a:spcAft>
            <a:buNone/>
          </a:pPr>
          <a:r>
            <a:rPr lang="it-IT" sz="1100" kern="1200">
              <a:solidFill>
                <a:sysClr val="windowText" lastClr="000000"/>
              </a:solidFill>
              <a:latin typeface="Times New Roman" panose="02020603050405020304" pitchFamily="18" charset="0"/>
              <a:ea typeface="+mn-ea"/>
              <a:cs typeface="Times New Roman" panose="02020603050405020304" pitchFamily="18" charset="0"/>
            </a:rPr>
            <a:t>pT4 qualsiasi G, N0</a:t>
          </a:r>
        </a:p>
        <a:p>
          <a:pPr marL="0" lvl="0" indent="0" algn="ctr" defTabSz="533400" rtl="0">
            <a:lnSpc>
              <a:spcPct val="90000"/>
            </a:lnSpc>
            <a:spcBef>
              <a:spcPct val="0"/>
            </a:spcBef>
            <a:spcAft>
              <a:spcPct val="35000"/>
            </a:spcAft>
            <a:buNone/>
          </a:pPr>
          <a:r>
            <a:rPr lang="it-IT" sz="1100" kern="1200">
              <a:solidFill>
                <a:sysClr val="windowText" lastClr="000000"/>
              </a:solidFill>
              <a:latin typeface="Times New Roman" panose="02020603050405020304" pitchFamily="18" charset="0"/>
              <a:ea typeface="+mn-ea"/>
              <a:cs typeface="Times New Roman" panose="02020603050405020304" pitchFamily="18" charset="0"/>
            </a:rPr>
            <a:t>Qualsiasi pT, qualsiasi G, N+ </a:t>
          </a:r>
          <a:endParaRPr lang="it-IT" sz="11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207726" y="2139340"/>
        <a:ext cx="1700867" cy="806788"/>
      </dsp:txXfrm>
    </dsp:sp>
    <dsp:sp modelId="{5D2CC8B1-DA4A-456B-92ED-B31D5D267723}">
      <dsp:nvSpPr>
        <dsp:cNvPr id="0" name=""/>
        <dsp:cNvSpPr/>
      </dsp:nvSpPr>
      <dsp:spPr>
        <a:xfrm>
          <a:off x="4327751" y="2095695"/>
          <a:ext cx="1788157" cy="894078"/>
        </a:xfrm>
        <a:prstGeom prst="roundRect">
          <a:avLst/>
        </a:prstGeom>
        <a:solidFill>
          <a:srgbClr val="FFC000"/>
        </a:solidFill>
        <a:ln w="190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it-IT" sz="1200" b="1" kern="1200">
              <a:solidFill>
                <a:sysClr val="windowText" lastClr="000000"/>
              </a:solidFill>
              <a:latin typeface="Times New Roman" panose="02020603050405020304" pitchFamily="18" charset="0"/>
              <a:ea typeface="+mn-ea"/>
              <a:cs typeface="Times New Roman" panose="02020603050405020304" pitchFamily="18" charset="0"/>
            </a:rPr>
            <a:t>M1 NED</a:t>
          </a:r>
        </a:p>
        <a:p>
          <a:pPr marL="0" lvl="0" indent="0" algn="ctr" defTabSz="533400" rtl="0">
            <a:lnSpc>
              <a:spcPct val="90000"/>
            </a:lnSpc>
            <a:spcBef>
              <a:spcPct val="0"/>
            </a:spcBef>
            <a:spcAft>
              <a:spcPct val="35000"/>
            </a:spcAft>
            <a:buNone/>
          </a:pPr>
          <a:r>
            <a:rPr lang="it-IT" sz="1100" b="0" kern="1200">
              <a:solidFill>
                <a:sysClr val="windowText" lastClr="000000"/>
              </a:solidFill>
              <a:latin typeface="Times New Roman" panose="02020603050405020304" pitchFamily="18" charset="0"/>
              <a:ea typeface="+mn-ea"/>
              <a:cs typeface="Times New Roman" panose="02020603050405020304" pitchFamily="18" charset="0"/>
            </a:rPr>
            <a:t>Non evidenza di malattia residua dopo resezione di metastasi (entro 1 anno dalla nefrectomia)</a:t>
          </a:r>
        </a:p>
      </dsp:txBody>
      <dsp:txXfrm>
        <a:off x="4371396" y="2139340"/>
        <a:ext cx="1700867" cy="8067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85BBD-A87B-47E7-AE74-17E1BEE5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9329</Words>
  <Characters>53179</Characters>
  <Application>Microsoft Office Word</Application>
  <DocSecurity>0</DocSecurity>
  <Lines>443</Lines>
  <Paragraphs>124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Calvanese</dc:creator>
  <cp:lastModifiedBy>Utente chemio</cp:lastModifiedBy>
  <cp:revision>2</cp:revision>
  <dcterms:created xsi:type="dcterms:W3CDTF">2025-07-16T06:13:00Z</dcterms:created>
  <dcterms:modified xsi:type="dcterms:W3CDTF">2025-07-16T06:13:00Z</dcterms:modified>
</cp:coreProperties>
</file>