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F65" w:rsidRPr="00FB30D2" w:rsidRDefault="001F2F65" w:rsidP="00FB30D2">
      <w:pPr>
        <w:tabs>
          <w:tab w:val="left" w:pos="5670"/>
        </w:tabs>
        <w:spacing w:line="360" w:lineRule="auto"/>
        <w:jc w:val="both"/>
        <w:rPr>
          <w:rFonts w:cs="Times New Roman"/>
          <w:b/>
          <w:bCs/>
          <w:color w:val="auto"/>
        </w:rPr>
      </w:pPr>
    </w:p>
    <w:p w:rsidR="001F2F65" w:rsidRPr="00FB30D2" w:rsidRDefault="001F2F65" w:rsidP="00FB30D2">
      <w:pPr>
        <w:tabs>
          <w:tab w:val="left" w:pos="5670"/>
        </w:tabs>
        <w:spacing w:line="360" w:lineRule="auto"/>
        <w:jc w:val="both"/>
        <w:rPr>
          <w:rFonts w:cs="Times New Roman"/>
          <w:b/>
          <w:bCs/>
          <w:color w:val="auto"/>
        </w:rPr>
      </w:pPr>
    </w:p>
    <w:p w:rsidR="001F2F65" w:rsidRPr="00FB30D2" w:rsidRDefault="001F2F65" w:rsidP="00FB30D2">
      <w:pPr>
        <w:tabs>
          <w:tab w:val="left" w:pos="5670"/>
        </w:tabs>
        <w:spacing w:line="360" w:lineRule="auto"/>
        <w:jc w:val="both"/>
        <w:rPr>
          <w:rFonts w:cs="Times New Roman"/>
          <w:b/>
          <w:bCs/>
          <w:color w:val="auto"/>
        </w:rPr>
      </w:pPr>
    </w:p>
    <w:p w:rsidR="001F2F65" w:rsidRPr="00FB30D2" w:rsidRDefault="001F2F65" w:rsidP="00FB30D2">
      <w:pPr>
        <w:tabs>
          <w:tab w:val="left" w:pos="5670"/>
        </w:tabs>
        <w:spacing w:line="360" w:lineRule="auto"/>
        <w:jc w:val="both"/>
        <w:rPr>
          <w:rFonts w:cs="Times New Roman"/>
          <w:b/>
          <w:bCs/>
          <w:color w:val="auto"/>
        </w:rPr>
      </w:pPr>
    </w:p>
    <w:p w:rsidR="001F2F65" w:rsidRPr="00FB30D2" w:rsidRDefault="001F2F65" w:rsidP="00FB30D2">
      <w:pPr>
        <w:tabs>
          <w:tab w:val="left" w:pos="5670"/>
        </w:tabs>
        <w:spacing w:line="360" w:lineRule="auto"/>
        <w:jc w:val="both"/>
        <w:rPr>
          <w:rFonts w:cs="Times New Roman"/>
          <w:b/>
          <w:bCs/>
          <w:color w:val="auto"/>
        </w:rPr>
      </w:pPr>
    </w:p>
    <w:p w:rsidR="001F2F65" w:rsidRPr="00FB30D2" w:rsidRDefault="001F2F65" w:rsidP="00FB30D2">
      <w:pPr>
        <w:tabs>
          <w:tab w:val="left" w:pos="5670"/>
        </w:tabs>
        <w:spacing w:line="360" w:lineRule="auto"/>
        <w:jc w:val="center"/>
        <w:rPr>
          <w:rFonts w:cs="Times New Roman"/>
          <w:b/>
          <w:bCs/>
          <w:color w:val="auto"/>
          <w:sz w:val="32"/>
        </w:rPr>
      </w:pPr>
    </w:p>
    <w:p w:rsidR="00FB30D2" w:rsidRPr="00FB30D2" w:rsidRDefault="00FB30D2" w:rsidP="00FB30D2">
      <w:pPr>
        <w:tabs>
          <w:tab w:val="left" w:pos="5670"/>
        </w:tabs>
        <w:spacing w:line="360" w:lineRule="auto"/>
        <w:jc w:val="center"/>
        <w:rPr>
          <w:rFonts w:cs="Times New Roman"/>
          <w:b/>
          <w:bCs/>
          <w:color w:val="auto"/>
          <w:sz w:val="32"/>
        </w:rPr>
      </w:pPr>
    </w:p>
    <w:p w:rsidR="00FB30D2" w:rsidRPr="00FB30D2" w:rsidRDefault="00FB30D2" w:rsidP="00FB30D2">
      <w:pPr>
        <w:tabs>
          <w:tab w:val="left" w:pos="5670"/>
        </w:tabs>
        <w:spacing w:line="360" w:lineRule="auto"/>
        <w:jc w:val="center"/>
        <w:rPr>
          <w:rFonts w:cs="Times New Roman"/>
          <w:b/>
          <w:bCs/>
          <w:color w:val="auto"/>
          <w:sz w:val="32"/>
        </w:rPr>
      </w:pPr>
      <w:r w:rsidRPr="00FB30D2">
        <w:rPr>
          <w:rFonts w:cs="Times New Roman"/>
          <w:b/>
          <w:bCs/>
          <w:color w:val="auto"/>
          <w:sz w:val="32"/>
        </w:rPr>
        <w:t>Il Percorso Diagnostico Terapeutico Assistenziale (PDTA)</w:t>
      </w:r>
    </w:p>
    <w:p w:rsidR="00FB30D2" w:rsidRPr="00FB30D2" w:rsidRDefault="00FB30D2" w:rsidP="00FB30D2">
      <w:pPr>
        <w:tabs>
          <w:tab w:val="left" w:pos="5670"/>
        </w:tabs>
        <w:spacing w:line="360" w:lineRule="auto"/>
        <w:jc w:val="center"/>
        <w:rPr>
          <w:rFonts w:cs="Times New Roman"/>
          <w:b/>
          <w:bCs/>
          <w:color w:val="auto"/>
          <w:sz w:val="32"/>
        </w:rPr>
      </w:pPr>
      <w:r w:rsidRPr="00FB30D2">
        <w:rPr>
          <w:rFonts w:cs="Times New Roman"/>
          <w:b/>
          <w:bCs/>
          <w:color w:val="auto"/>
          <w:sz w:val="32"/>
        </w:rPr>
        <w:t>per il carcinoma colon-retto</w:t>
      </w:r>
    </w:p>
    <w:p w:rsidR="00FB30D2" w:rsidRPr="00FB30D2" w:rsidRDefault="00FB30D2" w:rsidP="00FB30D2">
      <w:pPr>
        <w:tabs>
          <w:tab w:val="left" w:pos="924"/>
          <w:tab w:val="left" w:pos="5670"/>
        </w:tabs>
        <w:spacing w:line="360" w:lineRule="auto"/>
        <w:jc w:val="center"/>
        <w:rPr>
          <w:rFonts w:cs="Times New Roman"/>
          <w:b/>
          <w:bCs/>
          <w:color w:val="auto"/>
          <w:sz w:val="32"/>
        </w:rPr>
      </w:pPr>
    </w:p>
    <w:p w:rsidR="00FB30D2" w:rsidRPr="00FB30D2" w:rsidRDefault="00FB30D2" w:rsidP="00FB30D2">
      <w:pPr>
        <w:tabs>
          <w:tab w:val="left" w:pos="5670"/>
        </w:tabs>
        <w:spacing w:line="360" w:lineRule="auto"/>
        <w:jc w:val="center"/>
        <w:rPr>
          <w:rFonts w:cs="Times New Roman"/>
          <w:b/>
          <w:bCs/>
          <w:color w:val="auto"/>
          <w:sz w:val="32"/>
        </w:rPr>
      </w:pPr>
    </w:p>
    <w:p w:rsidR="00FB30D2" w:rsidRPr="00FB30D2" w:rsidRDefault="00FB30D2" w:rsidP="00FB30D2">
      <w:pPr>
        <w:tabs>
          <w:tab w:val="left" w:pos="5670"/>
        </w:tabs>
        <w:spacing w:line="360" w:lineRule="auto"/>
        <w:jc w:val="center"/>
        <w:rPr>
          <w:rFonts w:cs="Times New Roman"/>
          <w:b/>
          <w:color w:val="auto"/>
          <w:sz w:val="32"/>
        </w:rPr>
      </w:pPr>
      <w:r w:rsidRPr="00FB30D2">
        <w:rPr>
          <w:rFonts w:cs="Times New Roman"/>
          <w:b/>
          <w:color w:val="auto"/>
          <w:sz w:val="32"/>
        </w:rPr>
        <w:t>Edizione 2024</w:t>
      </w:r>
    </w:p>
    <w:p w:rsidR="00FB30D2" w:rsidRPr="00FB30D2" w:rsidRDefault="00FB30D2" w:rsidP="00FB30D2">
      <w:pPr>
        <w:tabs>
          <w:tab w:val="left" w:pos="5670"/>
        </w:tabs>
        <w:spacing w:line="360" w:lineRule="auto"/>
        <w:jc w:val="both"/>
        <w:rPr>
          <w:rFonts w:cs="Times New Roman"/>
          <w:b/>
          <w:bCs/>
          <w:color w:val="auto"/>
        </w:rPr>
      </w:pPr>
    </w:p>
    <w:p w:rsidR="00FB30D2" w:rsidRPr="00FB30D2" w:rsidRDefault="00FB30D2" w:rsidP="00FB30D2">
      <w:pPr>
        <w:tabs>
          <w:tab w:val="left" w:pos="5670"/>
        </w:tabs>
        <w:spacing w:line="360" w:lineRule="auto"/>
        <w:jc w:val="both"/>
        <w:rPr>
          <w:rFonts w:cs="Times New Roman"/>
          <w:b/>
          <w:bCs/>
          <w:color w:val="auto"/>
        </w:rPr>
      </w:pPr>
    </w:p>
    <w:p w:rsidR="00FB30D2" w:rsidRPr="00FB30D2" w:rsidRDefault="00FB30D2" w:rsidP="00FB30D2">
      <w:pPr>
        <w:tabs>
          <w:tab w:val="left" w:pos="5670"/>
        </w:tabs>
        <w:spacing w:line="360" w:lineRule="auto"/>
        <w:jc w:val="both"/>
        <w:rPr>
          <w:rFonts w:cs="Times New Roman"/>
          <w:b/>
          <w:bCs/>
          <w:color w:val="auto"/>
        </w:rPr>
      </w:pPr>
    </w:p>
    <w:p w:rsidR="00FB30D2" w:rsidRPr="00FB30D2" w:rsidRDefault="00FB30D2" w:rsidP="00FB30D2">
      <w:pPr>
        <w:tabs>
          <w:tab w:val="left" w:pos="5670"/>
        </w:tabs>
        <w:spacing w:line="360" w:lineRule="auto"/>
        <w:jc w:val="both"/>
        <w:rPr>
          <w:rFonts w:cs="Times New Roman"/>
          <w:b/>
          <w:bCs/>
          <w:color w:val="auto"/>
        </w:rPr>
      </w:pPr>
    </w:p>
    <w:p w:rsidR="00FB30D2" w:rsidRPr="00FB30D2" w:rsidRDefault="00FB30D2" w:rsidP="00FB30D2">
      <w:pPr>
        <w:tabs>
          <w:tab w:val="left" w:pos="5670"/>
        </w:tabs>
        <w:spacing w:line="360" w:lineRule="auto"/>
        <w:jc w:val="both"/>
        <w:rPr>
          <w:rFonts w:cs="Times New Roman"/>
          <w:b/>
          <w:bCs/>
          <w:color w:val="auto"/>
        </w:rPr>
      </w:pPr>
    </w:p>
    <w:p w:rsidR="00FB30D2" w:rsidRPr="00FB30D2" w:rsidRDefault="00FB30D2" w:rsidP="00FB30D2">
      <w:pPr>
        <w:tabs>
          <w:tab w:val="left" w:pos="5670"/>
        </w:tabs>
        <w:spacing w:line="360" w:lineRule="auto"/>
        <w:jc w:val="both"/>
        <w:rPr>
          <w:rFonts w:cs="Times New Roman"/>
          <w:b/>
          <w:bCs/>
          <w:color w:val="auto"/>
        </w:rPr>
      </w:pPr>
    </w:p>
    <w:p w:rsidR="00FB30D2" w:rsidRPr="00FB30D2" w:rsidRDefault="00FB30D2" w:rsidP="00FB30D2">
      <w:pPr>
        <w:tabs>
          <w:tab w:val="left" w:pos="5670"/>
        </w:tabs>
        <w:spacing w:line="360" w:lineRule="auto"/>
        <w:jc w:val="center"/>
        <w:rPr>
          <w:rFonts w:cs="Times New Roman"/>
          <w:b/>
          <w:bCs/>
          <w:color w:val="auto"/>
        </w:rPr>
      </w:pPr>
      <w:r w:rsidRPr="00FB30D2">
        <w:rPr>
          <w:rFonts w:cs="Times New Roman"/>
          <w:b/>
          <w:bCs/>
          <w:noProof/>
          <w:color w:val="auto"/>
        </w:rPr>
        <w:drawing>
          <wp:inline distT="0" distB="0" distL="0" distR="0" wp14:anchorId="3D04EF71" wp14:editId="01629A18">
            <wp:extent cx="3971508" cy="2767004"/>
            <wp:effectExtent l="0" t="0" r="0" b="0"/>
            <wp:docPr id="1" name="Immagine 1" descr="\\fs\dati\kemio\eli\PDTA 2023\QEYRHF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ati\kemio\eli\PDTA 2023\QEYRHFGS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457" cy="2769755"/>
                    </a:xfrm>
                    <a:prstGeom prst="rect">
                      <a:avLst/>
                    </a:prstGeom>
                    <a:noFill/>
                    <a:ln>
                      <a:noFill/>
                    </a:ln>
                  </pic:spPr>
                </pic:pic>
              </a:graphicData>
            </a:graphic>
          </wp:inline>
        </w:drawing>
      </w:r>
    </w:p>
    <w:p w:rsidR="00FB30D2" w:rsidRDefault="00FB30D2" w:rsidP="00FB30D2">
      <w:pPr>
        <w:pStyle w:val="Pidipagina"/>
        <w:tabs>
          <w:tab w:val="clear" w:pos="4819"/>
          <w:tab w:val="clear" w:pos="9638"/>
          <w:tab w:val="left" w:pos="7458"/>
        </w:tabs>
        <w:spacing w:line="360" w:lineRule="auto"/>
        <w:ind w:right="360"/>
        <w:jc w:val="both"/>
        <w:rPr>
          <w:color w:val="auto"/>
        </w:rPr>
      </w:pPr>
    </w:p>
    <w:p w:rsidR="00FB30D2" w:rsidRDefault="00FB30D2" w:rsidP="00FB30D2">
      <w:pPr>
        <w:pStyle w:val="Pidipagina"/>
        <w:tabs>
          <w:tab w:val="clear" w:pos="4819"/>
          <w:tab w:val="clear" w:pos="9638"/>
          <w:tab w:val="left" w:pos="7458"/>
        </w:tabs>
        <w:spacing w:line="360" w:lineRule="auto"/>
        <w:ind w:right="360"/>
        <w:jc w:val="both"/>
        <w:rPr>
          <w:color w:val="auto"/>
        </w:rPr>
      </w:pPr>
    </w:p>
    <w:p w:rsidR="00FB30D2" w:rsidRPr="00FB30D2" w:rsidRDefault="00FB30D2" w:rsidP="00FB30D2">
      <w:pPr>
        <w:pStyle w:val="Pidipagina"/>
        <w:tabs>
          <w:tab w:val="clear" w:pos="4819"/>
          <w:tab w:val="clear" w:pos="9638"/>
          <w:tab w:val="left" w:pos="7458"/>
        </w:tabs>
        <w:spacing w:line="360" w:lineRule="auto"/>
        <w:ind w:right="360"/>
        <w:jc w:val="both"/>
        <w:rPr>
          <w:color w:val="auto"/>
        </w:rPr>
      </w:pPr>
      <w:r w:rsidRPr="00FB30D2">
        <w:rPr>
          <w:color w:val="auto"/>
        </w:rPr>
        <w:tab/>
      </w:r>
    </w:p>
    <w:p w:rsidR="00FB30D2" w:rsidRPr="00FB30D2" w:rsidRDefault="00FB30D2" w:rsidP="00FB30D2">
      <w:pPr>
        <w:pStyle w:val="Pidipagina"/>
        <w:tabs>
          <w:tab w:val="clear" w:pos="4819"/>
          <w:tab w:val="clear" w:pos="9638"/>
          <w:tab w:val="left" w:pos="7458"/>
        </w:tabs>
        <w:spacing w:line="360" w:lineRule="auto"/>
        <w:ind w:right="360"/>
        <w:jc w:val="both"/>
        <w:rPr>
          <w:color w:val="auto"/>
        </w:rPr>
      </w:pPr>
      <w:r w:rsidRPr="00FB30D2">
        <w:rPr>
          <w:color w:val="auto"/>
        </w:rPr>
        <w:lastRenderedPageBreak/>
        <w:t xml:space="preserve">In tabella 1 sono riportate le figure professionali ed Unità Operative Complesse (UOC) o Semplici (UO) deputate all’accoglienza, Presa in Carico ed Assistenza nell’ambito del </w:t>
      </w:r>
      <w:r w:rsidRPr="00FB30D2">
        <w:rPr>
          <w:b/>
          <w:bCs/>
          <w:color w:val="auto"/>
        </w:rPr>
        <w:t>GOM</w:t>
      </w:r>
      <w:r w:rsidRPr="00FB30D2">
        <w:rPr>
          <w:color w:val="auto"/>
        </w:rPr>
        <w:t xml:space="preserve"> Colon-Retto.</w:t>
      </w:r>
    </w:p>
    <w:tbl>
      <w:tblPr>
        <w:tblW w:w="9642" w:type="dxa"/>
        <w:tblInd w:w="108" w:type="dxa"/>
        <w:tblCellMar>
          <w:top w:w="80" w:type="dxa"/>
          <w:left w:w="80" w:type="dxa"/>
          <w:bottom w:w="80" w:type="dxa"/>
          <w:right w:w="80" w:type="dxa"/>
        </w:tblCellMar>
        <w:tblLook w:val="04A0" w:firstRow="1" w:lastRow="0" w:firstColumn="1" w:lastColumn="0" w:noHBand="0" w:noVBand="1"/>
      </w:tblPr>
      <w:tblGrid>
        <w:gridCol w:w="2299"/>
        <w:gridCol w:w="3526"/>
        <w:gridCol w:w="19"/>
        <w:gridCol w:w="3798"/>
      </w:tblGrid>
      <w:tr w:rsidR="00FB30D2" w:rsidRPr="00FB30D2" w:rsidTr="00FB30D2">
        <w:trPr>
          <w:trHeight w:val="863"/>
        </w:trPr>
        <w:tc>
          <w:tcPr>
            <w:tcW w:w="2299" w:type="dxa"/>
            <w:vMerge w:val="restart"/>
            <w:tcBorders>
              <w:top w:val="single" w:sz="4" w:space="0" w:color="000000"/>
              <w:bottom w:val="single" w:sz="4" w:space="0" w:color="000000"/>
            </w:tcBorders>
            <w:shd w:val="clear" w:color="auto" w:fill="auto"/>
          </w:tcPr>
          <w:p w:rsidR="00FB30D2" w:rsidRPr="00FB30D2" w:rsidRDefault="00FB30D2" w:rsidP="00444526">
            <w:pPr>
              <w:keepNext/>
              <w:spacing w:line="276" w:lineRule="auto"/>
              <w:jc w:val="both"/>
              <w:rPr>
                <w:rFonts w:cs="Times New Roman"/>
                <w:color w:val="auto"/>
              </w:rPr>
            </w:pPr>
            <w:r w:rsidRPr="00FB30D2">
              <w:rPr>
                <w:rFonts w:cs="Times New Roman"/>
                <w:color w:val="auto"/>
              </w:rPr>
              <w:t>ACCOGLIENZA</w:t>
            </w:r>
          </w:p>
        </w:tc>
        <w:tc>
          <w:tcPr>
            <w:tcW w:w="3526" w:type="dxa"/>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rPr>
              <w:t>Case Manager</w:t>
            </w:r>
          </w:p>
          <w:p w:rsidR="00FB30D2" w:rsidRPr="00FB30D2" w:rsidRDefault="00FB30D2" w:rsidP="00444526">
            <w:pPr>
              <w:keepNext/>
              <w:spacing w:line="276" w:lineRule="auto"/>
              <w:rPr>
                <w:rFonts w:cs="Times New Roman"/>
                <w:color w:val="auto"/>
              </w:rPr>
            </w:pPr>
            <w:r w:rsidRPr="00FB30D2">
              <w:rPr>
                <w:rFonts w:cs="Times New Roman"/>
                <w:color w:val="auto"/>
                <w:lang w:val="da-DK"/>
              </w:rPr>
              <w:t xml:space="preserve">Medico                                         </w:t>
            </w:r>
          </w:p>
        </w:tc>
        <w:tc>
          <w:tcPr>
            <w:tcW w:w="3817" w:type="dxa"/>
            <w:gridSpan w:val="2"/>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rPr>
              <w:t>Identificato nell’Ambito del GOM</w:t>
            </w:r>
          </w:p>
          <w:p w:rsidR="00FB30D2" w:rsidRPr="00FB30D2" w:rsidRDefault="00FB30D2" w:rsidP="00444526">
            <w:pPr>
              <w:keepNext/>
              <w:spacing w:line="276" w:lineRule="auto"/>
              <w:rPr>
                <w:rFonts w:cs="Times New Roman"/>
                <w:color w:val="auto"/>
              </w:rPr>
            </w:pPr>
            <w:r w:rsidRPr="00FB30D2">
              <w:rPr>
                <w:rFonts w:cs="Times New Roman"/>
                <w:color w:val="auto"/>
              </w:rPr>
              <w:t>Medico specialista di una delle unità afferenti al GOM</w:t>
            </w:r>
          </w:p>
        </w:tc>
      </w:tr>
      <w:tr w:rsidR="00FB30D2" w:rsidRPr="00FB30D2" w:rsidTr="00FB30D2">
        <w:trPr>
          <w:trHeight w:val="863"/>
        </w:trPr>
        <w:tc>
          <w:tcPr>
            <w:tcW w:w="2299" w:type="dxa"/>
            <w:vMerge/>
            <w:tcBorders>
              <w:top w:val="single" w:sz="4" w:space="0" w:color="000000"/>
              <w:bottom w:val="single" w:sz="4" w:space="0" w:color="000000"/>
            </w:tcBorders>
            <w:shd w:val="clear" w:color="auto" w:fill="auto"/>
          </w:tcPr>
          <w:p w:rsidR="00FB30D2" w:rsidRPr="00FB30D2" w:rsidRDefault="00FB30D2" w:rsidP="00444526">
            <w:pPr>
              <w:keepNext/>
              <w:spacing w:line="276" w:lineRule="auto"/>
              <w:jc w:val="both"/>
              <w:rPr>
                <w:rFonts w:cs="Times New Roman"/>
                <w:color w:val="auto"/>
              </w:rPr>
            </w:pPr>
          </w:p>
        </w:tc>
        <w:tc>
          <w:tcPr>
            <w:tcW w:w="3526" w:type="dxa"/>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rPr>
              <w:t>Medico di Medicina Generale</w:t>
            </w:r>
          </w:p>
        </w:tc>
        <w:tc>
          <w:tcPr>
            <w:tcW w:w="3817" w:type="dxa"/>
            <w:gridSpan w:val="2"/>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rPr>
              <w:t>Segnalazione dell’assistito e partecipazione al GOM</w:t>
            </w:r>
          </w:p>
        </w:tc>
      </w:tr>
      <w:tr w:rsidR="00FB30D2" w:rsidRPr="00FB30D2" w:rsidTr="00FB30D2">
        <w:trPr>
          <w:trHeight w:val="411"/>
        </w:trPr>
        <w:tc>
          <w:tcPr>
            <w:tcW w:w="2299" w:type="dxa"/>
            <w:vMerge/>
            <w:tcBorders>
              <w:top w:val="single" w:sz="4" w:space="0" w:color="000000"/>
              <w:bottom w:val="single" w:sz="4" w:space="0" w:color="000000"/>
            </w:tcBorders>
            <w:shd w:val="clear" w:color="auto" w:fill="auto"/>
            <w:tcMar>
              <w:top w:w="0" w:type="dxa"/>
              <w:left w:w="0" w:type="dxa"/>
              <w:bottom w:w="0" w:type="dxa"/>
              <w:right w:w="0" w:type="dxa"/>
            </w:tcMar>
            <w:vAlign w:val="center"/>
          </w:tcPr>
          <w:p w:rsidR="00FB30D2" w:rsidRPr="00FB30D2" w:rsidRDefault="00FB30D2" w:rsidP="00444526">
            <w:pPr>
              <w:spacing w:line="276" w:lineRule="auto"/>
              <w:jc w:val="both"/>
              <w:rPr>
                <w:rFonts w:cs="Times New Roman"/>
                <w:color w:val="auto"/>
              </w:rPr>
            </w:pPr>
          </w:p>
        </w:tc>
        <w:tc>
          <w:tcPr>
            <w:tcW w:w="3526" w:type="dxa"/>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p>
        </w:tc>
        <w:tc>
          <w:tcPr>
            <w:tcW w:w="3817" w:type="dxa"/>
            <w:gridSpan w:val="2"/>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rPr>
              <w:t xml:space="preserve">Servizio civile </w:t>
            </w:r>
          </w:p>
          <w:p w:rsidR="00FB30D2" w:rsidRPr="00FB30D2" w:rsidRDefault="00FB30D2" w:rsidP="00444526">
            <w:pPr>
              <w:keepNext/>
              <w:spacing w:line="276" w:lineRule="auto"/>
              <w:rPr>
                <w:rFonts w:cs="Times New Roman"/>
                <w:color w:val="auto"/>
              </w:rPr>
            </w:pPr>
            <w:r w:rsidRPr="00FB30D2">
              <w:rPr>
                <w:rFonts w:cs="Times New Roman"/>
                <w:color w:val="auto"/>
              </w:rPr>
              <w:t>Associazioni volontariato</w:t>
            </w:r>
          </w:p>
        </w:tc>
      </w:tr>
      <w:tr w:rsidR="00FB30D2" w:rsidRPr="00FB30D2" w:rsidTr="00FB30D2">
        <w:trPr>
          <w:trHeight w:val="873"/>
        </w:trPr>
        <w:tc>
          <w:tcPr>
            <w:tcW w:w="2299" w:type="dxa"/>
            <w:tcBorders>
              <w:top w:val="single" w:sz="4" w:space="0" w:color="000000"/>
              <w:bottom w:val="single" w:sz="4" w:space="0" w:color="000000"/>
            </w:tcBorders>
            <w:shd w:val="clear" w:color="auto" w:fill="auto"/>
          </w:tcPr>
          <w:p w:rsidR="00FB30D2" w:rsidRPr="00FB30D2" w:rsidRDefault="00FB30D2" w:rsidP="00444526">
            <w:pPr>
              <w:keepNext/>
              <w:spacing w:line="276" w:lineRule="auto"/>
              <w:jc w:val="both"/>
              <w:rPr>
                <w:rFonts w:cs="Times New Roman"/>
                <w:color w:val="auto"/>
              </w:rPr>
            </w:pPr>
            <w:r w:rsidRPr="00FB30D2">
              <w:rPr>
                <w:rFonts w:cs="Times New Roman"/>
                <w:color w:val="auto"/>
              </w:rPr>
              <w:t>PRESA IN CARICO</w:t>
            </w:r>
          </w:p>
          <w:p w:rsidR="00FB30D2" w:rsidRPr="00FB30D2" w:rsidRDefault="00FB30D2" w:rsidP="00444526">
            <w:pPr>
              <w:keepNext/>
              <w:spacing w:line="276" w:lineRule="auto"/>
              <w:jc w:val="both"/>
              <w:rPr>
                <w:rFonts w:cs="Times New Roman"/>
                <w:color w:val="auto"/>
              </w:rPr>
            </w:pPr>
            <w:r w:rsidRPr="00FB30D2">
              <w:rPr>
                <w:rFonts w:cs="Times New Roman"/>
                <w:color w:val="auto"/>
              </w:rPr>
              <w:t>(Core Team)</w:t>
            </w:r>
          </w:p>
        </w:tc>
        <w:tc>
          <w:tcPr>
            <w:tcW w:w="3526" w:type="dxa"/>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lang w:val="da-DK"/>
              </w:rPr>
              <w:t xml:space="preserve">Oncologi </w:t>
            </w:r>
          </w:p>
          <w:p w:rsidR="00FB30D2" w:rsidRPr="00FB30D2" w:rsidRDefault="00FB30D2" w:rsidP="00444526">
            <w:pPr>
              <w:keepNext/>
              <w:spacing w:line="276" w:lineRule="auto"/>
              <w:rPr>
                <w:rFonts w:cs="Times New Roman"/>
                <w:color w:val="auto"/>
              </w:rPr>
            </w:pPr>
            <w:r w:rsidRPr="00FB30D2">
              <w:rPr>
                <w:rFonts w:cs="Times New Roman"/>
                <w:color w:val="auto"/>
              </w:rPr>
              <w:t>Chirurghi Oncologici</w:t>
            </w:r>
          </w:p>
          <w:p w:rsidR="00FB30D2" w:rsidRPr="00FB30D2" w:rsidRDefault="00FB30D2" w:rsidP="00444526">
            <w:pPr>
              <w:keepNext/>
              <w:spacing w:line="276" w:lineRule="auto"/>
              <w:rPr>
                <w:rFonts w:cs="Times New Roman"/>
                <w:color w:val="auto"/>
              </w:rPr>
            </w:pPr>
            <w:r w:rsidRPr="00FB30D2">
              <w:rPr>
                <w:rFonts w:cs="Times New Roman"/>
                <w:color w:val="auto"/>
              </w:rPr>
              <w:t>Radioterapisti</w:t>
            </w:r>
          </w:p>
        </w:tc>
        <w:tc>
          <w:tcPr>
            <w:tcW w:w="3817" w:type="dxa"/>
            <w:gridSpan w:val="2"/>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lang w:val="pt-PT"/>
              </w:rPr>
              <w:t xml:space="preserve">UOC Oncologia Medica </w:t>
            </w:r>
          </w:p>
          <w:p w:rsidR="00FB30D2" w:rsidRPr="00FB30D2" w:rsidRDefault="00FB30D2" w:rsidP="00444526">
            <w:pPr>
              <w:keepNext/>
              <w:spacing w:line="276" w:lineRule="auto"/>
              <w:rPr>
                <w:rFonts w:cs="Times New Roman"/>
                <w:color w:val="auto"/>
              </w:rPr>
            </w:pPr>
            <w:r w:rsidRPr="00FB30D2">
              <w:rPr>
                <w:rFonts w:cs="Times New Roman"/>
                <w:color w:val="auto"/>
              </w:rPr>
              <w:t>UOC Chirurgia Colonrettale</w:t>
            </w:r>
          </w:p>
          <w:p w:rsidR="00FB30D2" w:rsidRPr="00FB30D2" w:rsidRDefault="00FB30D2" w:rsidP="00444526">
            <w:pPr>
              <w:keepNext/>
              <w:spacing w:line="276" w:lineRule="auto"/>
              <w:rPr>
                <w:rFonts w:cs="Times New Roman"/>
                <w:color w:val="auto"/>
              </w:rPr>
            </w:pPr>
            <w:r w:rsidRPr="00FB30D2">
              <w:rPr>
                <w:rFonts w:cs="Times New Roman"/>
                <w:color w:val="auto"/>
              </w:rPr>
              <w:t>UOC Radioterapia</w:t>
            </w:r>
          </w:p>
        </w:tc>
      </w:tr>
      <w:tr w:rsidR="00FB30D2" w:rsidRPr="00FB30D2" w:rsidTr="00FB30D2">
        <w:trPr>
          <w:trHeight w:val="3859"/>
        </w:trPr>
        <w:tc>
          <w:tcPr>
            <w:tcW w:w="2299" w:type="dxa"/>
            <w:vMerge w:val="restart"/>
            <w:tcBorders>
              <w:top w:val="single" w:sz="4" w:space="0" w:color="000000"/>
              <w:bottom w:val="single" w:sz="4" w:space="0" w:color="000000"/>
            </w:tcBorders>
            <w:shd w:val="clear" w:color="auto" w:fill="auto"/>
          </w:tcPr>
          <w:p w:rsidR="00FB30D2" w:rsidRPr="00FB30D2" w:rsidRDefault="00FB30D2" w:rsidP="00444526">
            <w:pPr>
              <w:keepNext/>
              <w:spacing w:line="276" w:lineRule="auto"/>
              <w:jc w:val="both"/>
              <w:rPr>
                <w:rFonts w:cs="Times New Roman"/>
                <w:color w:val="auto"/>
              </w:rPr>
            </w:pPr>
            <w:r w:rsidRPr="00FB30D2">
              <w:rPr>
                <w:rFonts w:cs="Times New Roman"/>
                <w:color w:val="auto"/>
              </w:rPr>
              <w:t>ASSISTENZA</w:t>
            </w:r>
          </w:p>
          <w:p w:rsidR="00FB30D2" w:rsidRPr="00FB30D2" w:rsidRDefault="00FB30D2" w:rsidP="00444526">
            <w:pPr>
              <w:keepNext/>
              <w:spacing w:line="276" w:lineRule="auto"/>
              <w:jc w:val="both"/>
              <w:rPr>
                <w:rFonts w:cs="Times New Roman"/>
                <w:color w:val="auto"/>
              </w:rPr>
            </w:pPr>
            <w:r w:rsidRPr="00FB30D2">
              <w:rPr>
                <w:rFonts w:cs="Times New Roman"/>
                <w:color w:val="auto"/>
              </w:rPr>
              <w:t>(Extended Team)</w:t>
            </w:r>
          </w:p>
          <w:p w:rsidR="00FB30D2" w:rsidRPr="00FB30D2" w:rsidRDefault="00FB30D2" w:rsidP="00444526">
            <w:pPr>
              <w:keepNext/>
              <w:spacing w:line="276" w:lineRule="auto"/>
              <w:jc w:val="both"/>
              <w:rPr>
                <w:rFonts w:cs="Times New Roman"/>
                <w:color w:val="auto"/>
              </w:rPr>
            </w:pPr>
          </w:p>
          <w:p w:rsidR="00FB30D2" w:rsidRPr="00FB30D2" w:rsidRDefault="00FB30D2" w:rsidP="00444526">
            <w:pPr>
              <w:keepNext/>
              <w:spacing w:line="276" w:lineRule="auto"/>
              <w:jc w:val="both"/>
              <w:rPr>
                <w:rFonts w:cs="Times New Roman"/>
                <w:color w:val="auto"/>
              </w:rPr>
            </w:pPr>
          </w:p>
          <w:p w:rsidR="00FB30D2" w:rsidRPr="00FB30D2" w:rsidRDefault="00FB30D2" w:rsidP="00444526">
            <w:pPr>
              <w:keepNext/>
              <w:spacing w:line="276" w:lineRule="auto"/>
              <w:jc w:val="both"/>
              <w:rPr>
                <w:rFonts w:cs="Times New Roman"/>
                <w:i/>
                <w:iCs/>
                <w:color w:val="auto"/>
              </w:rPr>
            </w:pPr>
          </w:p>
          <w:p w:rsidR="00FB30D2" w:rsidRPr="00FB30D2" w:rsidRDefault="00FB30D2" w:rsidP="00444526">
            <w:pPr>
              <w:keepNext/>
              <w:spacing w:line="276" w:lineRule="auto"/>
              <w:jc w:val="both"/>
              <w:rPr>
                <w:rFonts w:cs="Times New Roman"/>
                <w:color w:val="auto"/>
              </w:rPr>
            </w:pPr>
            <w:r w:rsidRPr="00FB30D2">
              <w:rPr>
                <w:rFonts w:cs="Times New Roman"/>
                <w:i/>
                <w:iCs/>
                <w:color w:val="auto"/>
              </w:rPr>
              <w:t xml:space="preserve"> </w:t>
            </w:r>
          </w:p>
        </w:tc>
        <w:tc>
          <w:tcPr>
            <w:tcW w:w="3545" w:type="dxa"/>
            <w:gridSpan w:val="2"/>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Oncologi Medici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Chirurghi oncologi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Radioterapisti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Gastroenterologi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Chirurghi addome</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Genetisti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Patologi clinici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Biologi Molecolari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Anatomopatologi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Radiologi</w:t>
            </w:r>
          </w:p>
          <w:p w:rsidR="00FB30D2" w:rsidRPr="00FB30D2" w:rsidRDefault="00FB30D2" w:rsidP="00444526">
            <w:pPr>
              <w:keepNext/>
              <w:spacing w:line="276" w:lineRule="auto"/>
              <w:rPr>
                <w:rFonts w:cs="Times New Roman"/>
                <w:color w:val="auto"/>
                <w:lang w:val="da-DK"/>
              </w:rPr>
            </w:pPr>
            <w:r w:rsidRPr="00FB30D2">
              <w:rPr>
                <w:rFonts w:cs="Times New Roman"/>
                <w:color w:val="auto"/>
                <w:lang w:val="da-DK"/>
              </w:rPr>
              <w:t>Medici del dolore</w:t>
            </w:r>
          </w:p>
          <w:p w:rsidR="00444526" w:rsidRDefault="00FB30D2" w:rsidP="00444526">
            <w:pPr>
              <w:keepNext/>
              <w:spacing w:line="276" w:lineRule="auto"/>
              <w:rPr>
                <w:rFonts w:cs="Times New Roman"/>
                <w:color w:val="auto"/>
              </w:rPr>
            </w:pPr>
            <w:r w:rsidRPr="00FB30D2">
              <w:rPr>
                <w:rFonts w:cs="Times New Roman"/>
                <w:color w:val="auto"/>
              </w:rPr>
              <w:t>Cardiologi</w:t>
            </w:r>
          </w:p>
          <w:p w:rsidR="00FB30D2" w:rsidRPr="00FB30D2" w:rsidRDefault="00FB30D2" w:rsidP="00444526">
            <w:pPr>
              <w:keepNext/>
              <w:spacing w:line="276" w:lineRule="auto"/>
              <w:rPr>
                <w:rFonts w:cs="Times New Roman"/>
                <w:color w:val="auto"/>
              </w:rPr>
            </w:pPr>
            <w:r w:rsidRPr="00FB30D2">
              <w:rPr>
                <w:rFonts w:cs="Times New Roman"/>
                <w:color w:val="auto"/>
              </w:rPr>
              <w:t>Psicologi</w:t>
            </w:r>
          </w:p>
          <w:p w:rsidR="00FB30D2" w:rsidRPr="00FB30D2" w:rsidRDefault="00FB30D2" w:rsidP="00444526">
            <w:pPr>
              <w:keepNext/>
              <w:spacing w:line="276" w:lineRule="auto"/>
              <w:rPr>
                <w:rFonts w:cs="Times New Roman"/>
                <w:color w:val="auto"/>
              </w:rPr>
            </w:pPr>
            <w:r w:rsidRPr="00FB30D2">
              <w:rPr>
                <w:rFonts w:cs="Times New Roman"/>
                <w:color w:val="auto"/>
              </w:rPr>
              <w:t>Nutrizionisti</w:t>
            </w:r>
          </w:p>
          <w:p w:rsidR="00FB30D2" w:rsidRDefault="00FB30D2" w:rsidP="00444526">
            <w:pPr>
              <w:keepNext/>
              <w:spacing w:line="276" w:lineRule="auto"/>
              <w:rPr>
                <w:rFonts w:cs="Times New Roman"/>
                <w:color w:val="auto"/>
              </w:rPr>
            </w:pPr>
            <w:r w:rsidRPr="00FB30D2">
              <w:rPr>
                <w:rFonts w:cs="Times New Roman"/>
                <w:color w:val="auto"/>
              </w:rPr>
              <w:t>Fisiatri</w:t>
            </w:r>
          </w:p>
          <w:p w:rsidR="00444526" w:rsidRPr="00FB30D2" w:rsidRDefault="00444526" w:rsidP="00444526">
            <w:pPr>
              <w:keepNext/>
              <w:spacing w:line="276" w:lineRule="auto"/>
              <w:rPr>
                <w:rFonts w:cs="Times New Roman"/>
                <w:color w:val="auto"/>
              </w:rPr>
            </w:pPr>
          </w:p>
          <w:p w:rsidR="00FB30D2" w:rsidRPr="00FB30D2" w:rsidRDefault="00FB30D2" w:rsidP="00444526">
            <w:pPr>
              <w:keepNext/>
              <w:spacing w:line="276" w:lineRule="auto"/>
              <w:rPr>
                <w:rFonts w:cs="Times New Roman"/>
                <w:color w:val="auto"/>
              </w:rPr>
            </w:pPr>
            <w:r w:rsidRPr="00FB30D2">
              <w:rPr>
                <w:rFonts w:cs="Times New Roman"/>
                <w:color w:val="auto"/>
              </w:rPr>
              <w:t>Personale infermieristico</w:t>
            </w:r>
          </w:p>
          <w:p w:rsidR="00FB30D2" w:rsidRPr="00FB30D2" w:rsidRDefault="00FB30D2" w:rsidP="00444526">
            <w:pPr>
              <w:keepNext/>
              <w:spacing w:line="276" w:lineRule="auto"/>
              <w:rPr>
                <w:rFonts w:cs="Times New Roman"/>
                <w:color w:val="auto"/>
              </w:rPr>
            </w:pPr>
            <w:r w:rsidRPr="00FB30D2">
              <w:rPr>
                <w:rFonts w:cs="Times New Roman"/>
                <w:color w:val="auto"/>
              </w:rPr>
              <w:t>Infermiere stomaterapista</w:t>
            </w:r>
          </w:p>
          <w:p w:rsidR="00FB30D2" w:rsidRPr="00FB30D2" w:rsidRDefault="00FB30D2" w:rsidP="00444526">
            <w:pPr>
              <w:keepNext/>
              <w:spacing w:line="276" w:lineRule="auto"/>
              <w:rPr>
                <w:rFonts w:cs="Times New Roman"/>
                <w:color w:val="auto"/>
              </w:rPr>
            </w:pPr>
          </w:p>
        </w:tc>
        <w:tc>
          <w:tcPr>
            <w:tcW w:w="3798" w:type="dxa"/>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UOC Oncologia  Medica</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UOC Chirurgia Colonrettale</w:t>
            </w:r>
          </w:p>
          <w:p w:rsidR="00FB30D2" w:rsidRPr="00FB30D2" w:rsidRDefault="00FB30D2" w:rsidP="00444526">
            <w:pPr>
              <w:keepNext/>
              <w:spacing w:line="276" w:lineRule="auto"/>
              <w:rPr>
                <w:rFonts w:cs="Times New Roman"/>
                <w:color w:val="auto"/>
                <w:lang w:val="pt-PT"/>
              </w:rPr>
            </w:pPr>
            <w:r w:rsidRPr="00FB30D2">
              <w:rPr>
                <w:rFonts w:cs="Times New Roman"/>
                <w:color w:val="auto"/>
              </w:rPr>
              <w:t>UOC Radioterapia</w:t>
            </w:r>
            <w:r w:rsidRPr="00FB30D2">
              <w:rPr>
                <w:rFonts w:cs="Times New Roman"/>
                <w:color w:val="auto"/>
                <w:lang w:val="pt-PT"/>
              </w:rPr>
              <w:t xml:space="preserve"> </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UOC Gastroenterologia</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UOC Chirurgia Oncologica Addominale</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UOC Genetica Medica</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 xml:space="preserve">UOC Patologia clinica  </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UOC Biologia Molecolare</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UOC Anatomia Patologica</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UOC Radiodiagnostica</w:t>
            </w:r>
          </w:p>
          <w:p w:rsidR="00FB30D2" w:rsidRPr="00FB30D2" w:rsidRDefault="00FB30D2" w:rsidP="00444526">
            <w:pPr>
              <w:keepNext/>
              <w:spacing w:line="276" w:lineRule="auto"/>
              <w:rPr>
                <w:rFonts w:cs="Times New Roman"/>
                <w:color w:val="auto"/>
                <w:lang w:val="pt-PT"/>
              </w:rPr>
            </w:pPr>
            <w:r w:rsidRPr="00FB30D2">
              <w:rPr>
                <w:rFonts w:cs="Times New Roman"/>
                <w:color w:val="auto"/>
                <w:lang w:val="pt-PT"/>
              </w:rPr>
              <w:t>UO Terapie Palliative</w:t>
            </w:r>
          </w:p>
          <w:p w:rsidR="00FB30D2" w:rsidRPr="00FB30D2" w:rsidRDefault="00FB30D2" w:rsidP="00444526">
            <w:pPr>
              <w:keepNext/>
              <w:spacing w:line="276" w:lineRule="auto"/>
              <w:rPr>
                <w:rFonts w:cs="Times New Roman"/>
                <w:color w:val="auto"/>
              </w:rPr>
            </w:pPr>
            <w:r w:rsidRPr="00FB30D2">
              <w:rPr>
                <w:rFonts w:cs="Times New Roman"/>
                <w:color w:val="auto"/>
              </w:rPr>
              <w:t>UO Cardiologia</w:t>
            </w:r>
          </w:p>
          <w:p w:rsidR="00FB30D2" w:rsidRPr="00FB30D2" w:rsidRDefault="00FB30D2" w:rsidP="00444526">
            <w:pPr>
              <w:keepNext/>
              <w:spacing w:line="276" w:lineRule="auto"/>
              <w:rPr>
                <w:rFonts w:cs="Times New Roman"/>
                <w:color w:val="auto"/>
              </w:rPr>
            </w:pPr>
            <w:r w:rsidRPr="00FB30D2">
              <w:rPr>
                <w:rFonts w:cs="Times New Roman"/>
                <w:color w:val="auto"/>
              </w:rPr>
              <w:t>UO Psicologia</w:t>
            </w:r>
          </w:p>
          <w:p w:rsidR="00FB30D2" w:rsidRPr="00FB30D2" w:rsidRDefault="00FB30D2" w:rsidP="00444526">
            <w:pPr>
              <w:keepNext/>
              <w:spacing w:line="276" w:lineRule="auto"/>
              <w:rPr>
                <w:rFonts w:cs="Times New Roman"/>
                <w:color w:val="auto"/>
              </w:rPr>
            </w:pPr>
            <w:r w:rsidRPr="00FB30D2">
              <w:rPr>
                <w:rFonts w:cs="Times New Roman"/>
                <w:color w:val="auto"/>
              </w:rPr>
              <w:t>UO Nutrizione</w:t>
            </w:r>
          </w:p>
          <w:p w:rsidR="00FB30D2" w:rsidRPr="00FB30D2" w:rsidRDefault="00FB30D2" w:rsidP="00444526">
            <w:pPr>
              <w:keepNext/>
              <w:spacing w:line="276" w:lineRule="auto"/>
              <w:rPr>
                <w:rFonts w:cs="Times New Roman"/>
                <w:color w:val="auto"/>
              </w:rPr>
            </w:pPr>
            <w:r w:rsidRPr="00FB30D2">
              <w:rPr>
                <w:rFonts w:cs="Times New Roman"/>
                <w:color w:val="auto"/>
              </w:rPr>
              <w:t>UO Medicina riabilitativa</w:t>
            </w:r>
          </w:p>
        </w:tc>
      </w:tr>
      <w:tr w:rsidR="00FB30D2" w:rsidRPr="00FB30D2" w:rsidTr="00FB30D2">
        <w:trPr>
          <w:trHeight w:val="1635"/>
        </w:trPr>
        <w:tc>
          <w:tcPr>
            <w:tcW w:w="2299" w:type="dxa"/>
            <w:vMerge/>
            <w:tcBorders>
              <w:top w:val="single" w:sz="4" w:space="0" w:color="000000"/>
              <w:bottom w:val="single" w:sz="4" w:space="0" w:color="000000"/>
            </w:tcBorders>
            <w:shd w:val="clear" w:color="auto" w:fill="auto"/>
            <w:tcMar>
              <w:top w:w="0" w:type="dxa"/>
              <w:left w:w="0" w:type="dxa"/>
              <w:bottom w:w="0" w:type="dxa"/>
              <w:right w:w="0" w:type="dxa"/>
            </w:tcMar>
            <w:vAlign w:val="center"/>
          </w:tcPr>
          <w:p w:rsidR="00FB30D2" w:rsidRPr="00FB30D2" w:rsidRDefault="00FB30D2" w:rsidP="00444526">
            <w:pPr>
              <w:spacing w:line="276" w:lineRule="auto"/>
              <w:jc w:val="both"/>
              <w:rPr>
                <w:rFonts w:cs="Times New Roman"/>
                <w:color w:val="auto"/>
              </w:rPr>
            </w:pPr>
          </w:p>
        </w:tc>
        <w:tc>
          <w:tcPr>
            <w:tcW w:w="3526" w:type="dxa"/>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lang w:val="es-ES_tradnl"/>
              </w:rPr>
              <w:t>Farmacisti</w:t>
            </w:r>
          </w:p>
          <w:p w:rsidR="00FB30D2" w:rsidRPr="00FB30D2" w:rsidRDefault="00FB30D2" w:rsidP="00444526">
            <w:pPr>
              <w:keepNext/>
              <w:spacing w:line="276" w:lineRule="auto"/>
              <w:rPr>
                <w:rFonts w:cs="Times New Roman"/>
                <w:color w:val="auto"/>
              </w:rPr>
            </w:pPr>
            <w:r w:rsidRPr="00FB30D2">
              <w:rPr>
                <w:rFonts w:cs="Times New Roman"/>
                <w:color w:val="auto"/>
              </w:rPr>
              <w:t>Personale Infermieristico e/o Tecnici di laboratorio medico</w:t>
            </w:r>
          </w:p>
        </w:tc>
        <w:tc>
          <w:tcPr>
            <w:tcW w:w="3817" w:type="dxa"/>
            <w:gridSpan w:val="2"/>
            <w:tcBorders>
              <w:top w:val="single" w:sz="4" w:space="0" w:color="000000"/>
              <w:bottom w:val="single" w:sz="4" w:space="0" w:color="000000"/>
            </w:tcBorders>
            <w:shd w:val="clear" w:color="auto" w:fill="auto"/>
          </w:tcPr>
          <w:p w:rsidR="00FB30D2" w:rsidRPr="00FB30D2" w:rsidRDefault="00FB30D2" w:rsidP="00444526">
            <w:pPr>
              <w:keepNext/>
              <w:spacing w:line="276" w:lineRule="auto"/>
              <w:rPr>
                <w:rFonts w:cs="Times New Roman"/>
                <w:color w:val="auto"/>
              </w:rPr>
            </w:pPr>
            <w:r w:rsidRPr="00FB30D2">
              <w:rPr>
                <w:rFonts w:cs="Times New Roman"/>
                <w:color w:val="auto"/>
                <w:lang w:val="es-ES_tradnl"/>
              </w:rPr>
              <w:t>UO Farmacia</w:t>
            </w:r>
          </w:p>
          <w:p w:rsidR="00FB30D2" w:rsidRPr="00FB30D2" w:rsidRDefault="00FB30D2" w:rsidP="00444526">
            <w:pPr>
              <w:keepNext/>
              <w:spacing w:line="276" w:lineRule="auto"/>
              <w:rPr>
                <w:rFonts w:cs="Times New Roman"/>
                <w:color w:val="auto"/>
              </w:rPr>
            </w:pPr>
            <w:r w:rsidRPr="00FB30D2">
              <w:rPr>
                <w:rFonts w:cs="Times New Roman"/>
                <w:color w:val="auto"/>
              </w:rPr>
              <w:t>Unit</w:t>
            </w:r>
            <w:r w:rsidRPr="00FB30D2">
              <w:rPr>
                <w:rFonts w:cs="Times New Roman"/>
                <w:color w:val="auto"/>
                <w:lang w:val="fr-FR"/>
              </w:rPr>
              <w:t xml:space="preserve">à </w:t>
            </w:r>
            <w:r w:rsidRPr="00FB30D2">
              <w:rPr>
                <w:rFonts w:cs="Times New Roman"/>
                <w:color w:val="auto"/>
              </w:rPr>
              <w:t>di Manipolazione di Chemioterapici Antineoplastici (UMACA/UFA)</w:t>
            </w:r>
          </w:p>
        </w:tc>
      </w:tr>
    </w:tbl>
    <w:p w:rsidR="00FB30D2" w:rsidRPr="00FB30D2" w:rsidRDefault="00FB30D2" w:rsidP="00FB30D2">
      <w:pPr>
        <w:spacing w:line="360" w:lineRule="auto"/>
        <w:jc w:val="both"/>
        <w:rPr>
          <w:rFonts w:cs="Times New Roman"/>
          <w:b/>
          <w:bCs/>
        </w:rPr>
      </w:pPr>
    </w:p>
    <w:p w:rsidR="00FB30D2" w:rsidRDefault="00FB30D2" w:rsidP="00FB30D2">
      <w:pPr>
        <w:spacing w:line="360" w:lineRule="auto"/>
        <w:jc w:val="both"/>
        <w:rPr>
          <w:rFonts w:cs="Times New Roman"/>
          <w:b/>
          <w:bCs/>
        </w:rPr>
      </w:pPr>
    </w:p>
    <w:p w:rsidR="00FB30D2" w:rsidRDefault="00FB30D2" w:rsidP="00FB30D2">
      <w:pPr>
        <w:spacing w:line="360" w:lineRule="auto"/>
        <w:jc w:val="both"/>
        <w:rPr>
          <w:rFonts w:cs="Times New Roman"/>
          <w:b/>
          <w:bCs/>
        </w:rPr>
      </w:pPr>
    </w:p>
    <w:p w:rsidR="00FB30D2" w:rsidRDefault="00FB30D2" w:rsidP="00FB30D2">
      <w:pPr>
        <w:spacing w:line="360" w:lineRule="auto"/>
        <w:jc w:val="both"/>
        <w:rPr>
          <w:rFonts w:cs="Times New Roman"/>
          <w:b/>
          <w:bCs/>
        </w:rPr>
      </w:pPr>
    </w:p>
    <w:p w:rsidR="00FB30D2" w:rsidRDefault="00FB30D2" w:rsidP="00FB30D2">
      <w:pPr>
        <w:spacing w:line="360" w:lineRule="auto"/>
        <w:jc w:val="both"/>
        <w:rPr>
          <w:rFonts w:cs="Times New Roman"/>
          <w:b/>
          <w:bCs/>
        </w:rPr>
      </w:pPr>
    </w:p>
    <w:p w:rsidR="00FB30D2" w:rsidRPr="00FB30D2" w:rsidRDefault="00FB30D2" w:rsidP="00FB30D2">
      <w:pPr>
        <w:spacing w:line="360" w:lineRule="auto"/>
        <w:jc w:val="both"/>
        <w:rPr>
          <w:rFonts w:cs="Times New Roman"/>
          <w:b/>
          <w:bCs/>
        </w:rPr>
      </w:pPr>
    </w:p>
    <w:p w:rsidR="00FB30D2" w:rsidRPr="00FB30D2" w:rsidRDefault="00FB30D2" w:rsidP="00FB30D2">
      <w:pPr>
        <w:spacing w:line="360" w:lineRule="auto"/>
        <w:jc w:val="center"/>
        <w:rPr>
          <w:rFonts w:cs="Times New Roman"/>
          <w:b/>
          <w:bCs/>
        </w:rPr>
      </w:pPr>
      <w:r w:rsidRPr="00FB30D2">
        <w:rPr>
          <w:rFonts w:cs="Times New Roman"/>
          <w:b/>
          <w:bCs/>
        </w:rPr>
        <w:t>TUMORI DEL COLON – RETTO</w:t>
      </w:r>
    </w:p>
    <w:p w:rsidR="00FB30D2" w:rsidRPr="00FB30D2" w:rsidRDefault="00FB30D2" w:rsidP="00FB30D2">
      <w:pPr>
        <w:spacing w:line="360" w:lineRule="auto"/>
        <w:jc w:val="both"/>
        <w:rPr>
          <w:rFonts w:cs="Times New Roman"/>
          <w:b/>
          <w:bCs/>
        </w:rPr>
      </w:pPr>
    </w:p>
    <w:p w:rsidR="00FB30D2" w:rsidRPr="00FB30D2" w:rsidRDefault="00FB30D2" w:rsidP="00FB30D2">
      <w:pPr>
        <w:spacing w:before="100" w:after="100" w:line="360" w:lineRule="auto"/>
        <w:jc w:val="both"/>
        <w:rPr>
          <w:rFonts w:eastAsia="Calibri" w:cs="Times New Roman"/>
          <w:b/>
          <w:bCs/>
          <w:color w:val="auto"/>
          <w:lang w:eastAsia="en-US"/>
        </w:rPr>
      </w:pPr>
      <w:r w:rsidRPr="00FB30D2">
        <w:rPr>
          <w:rFonts w:eastAsia="Calibri" w:cs="Times New Roman"/>
          <w:b/>
          <w:bCs/>
          <w:color w:val="auto"/>
          <w:lang w:eastAsia="en-US"/>
        </w:rPr>
        <w:t>Brevi note epidemiologiche</w:t>
      </w:r>
    </w:p>
    <w:p w:rsidR="00FB30D2" w:rsidRPr="00FB30D2" w:rsidRDefault="00FB30D2" w:rsidP="00FB30D2">
      <w:pPr>
        <w:spacing w:before="100" w:after="100" w:line="360" w:lineRule="auto"/>
        <w:jc w:val="both"/>
        <w:rPr>
          <w:rFonts w:eastAsia="Calibri" w:cs="Times New Roman"/>
          <w:b/>
          <w:bCs/>
          <w:color w:val="auto"/>
          <w:lang w:eastAsia="en-US"/>
        </w:rPr>
      </w:pPr>
      <w:r w:rsidRPr="00FB30D2">
        <w:rPr>
          <w:rFonts w:eastAsia="Calibri" w:cs="Times New Roman"/>
          <w:b/>
          <w:bCs/>
          <w:color w:val="auto"/>
          <w:lang w:eastAsia="en-US"/>
        </w:rPr>
        <w:t>Fattori di rischio</w:t>
      </w: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color w:val="auto"/>
          <w:lang w:eastAsia="en-US"/>
        </w:rPr>
        <w:t>I principali fattori di rischio per tumori del colon retto sono rappresentati dagli stili di vita e dalla familiarità.</w:t>
      </w: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color w:val="auto"/>
          <w:lang w:eastAsia="en-US"/>
        </w:rPr>
        <w:t>Tra i primi vanno annoverati fattori dietetici, quali il consumo di carni rosse, insaccati, farine e zuccheri raffinati, il sovrappeso, la ridotta attività fisica, il fumo e l’eccesso di alcool. In merito alla familiarità circa un terzo dei tumori del colon-retto presenta caratteristiche ascrivibile a suscettibilità ereditarie; solo una parte di questo rischio familiare (2-5%) è riconducibile a sindromi in cui sono state identificate mutazioni genetiche associate ad aumento del rischio di carcinoma colorettale; fra queste le sindromi caratterizzate dall’insorgenza di polipi, quali la poliposi adenomatosa familiare (FAP) e quelle non poliposiche come la sindrome di Lynch. L’ereditarietà è per lo più su base autosomico-dominante. Per gli individui appartenenti a gruppi familiari a rischio non ancora inquadrati in sindromi definite, il rischio di ammalare di carcinoma del colon-retto è circa doppio rispetto alla popolazione generale nel caso in cui sia presente un consanguineo di I</w:t>
      </w:r>
      <w:r w:rsidRPr="00FB30D2">
        <w:rPr>
          <w:rFonts w:eastAsia="MinionPro-Regular" w:cs="Times New Roman"/>
          <w:color w:val="auto"/>
          <w:vertAlign w:val="superscript"/>
          <w:lang w:eastAsia="en-US"/>
        </w:rPr>
        <w:t>o</w:t>
      </w:r>
      <w:r w:rsidRPr="00FB30D2">
        <w:rPr>
          <w:rFonts w:eastAsia="MinionPro-Regular" w:cs="Times New Roman"/>
          <w:color w:val="auto"/>
          <w:lang w:eastAsia="en-US"/>
        </w:rPr>
        <w:t xml:space="preserve"> grado, e più che triplo qualora quest’ultimo abbia contratto il tumore prima dei 50 anni di età. Ulteriori condizioni di rischio sono costituite dalla malattia di Crohn e dalla rettocolite ulcerosa. Considerato che circa l’80% dei carcinomi del colon-retto insorge a partire da lesioni precancerose va sottolineato il ruolo determinante che assume, nella gestione della malattia neoplastica del colon retto, lo screening organizzato di popolazione; quest’ultimo, infatti, è in grado di ridurre sia la mortalità, con la diagnosi precoce di carcinomi, che la stessa incidenza, in quanto permette l’individuazione e la rimozione di lesioni precancerose.</w:t>
      </w:r>
    </w:p>
    <w:p w:rsidR="00FB30D2" w:rsidRPr="00FB30D2" w:rsidRDefault="00FB30D2" w:rsidP="00FB30D2">
      <w:pPr>
        <w:spacing w:before="100" w:after="100" w:line="360" w:lineRule="auto"/>
        <w:jc w:val="both"/>
        <w:rPr>
          <w:rFonts w:eastAsia="MinionPro-Regular" w:cs="Times New Roman"/>
          <w:b/>
          <w:bCs/>
          <w:color w:val="auto"/>
          <w:lang w:eastAsia="en-US"/>
        </w:rPr>
      </w:pPr>
      <w:r w:rsidRPr="00FB30D2">
        <w:rPr>
          <w:rFonts w:eastAsia="MinionPro-Regular" w:cs="Times New Roman"/>
          <w:b/>
          <w:bCs/>
          <w:color w:val="auto"/>
          <w:lang w:eastAsia="en-US"/>
        </w:rPr>
        <w:t>Incidenza</w:t>
      </w: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color w:val="auto"/>
          <w:lang w:eastAsia="en-US"/>
        </w:rPr>
        <w:t>I tumori del colon-retto rappresentano, sia in Italia che in Campania, la terza neoplasia negli uomini (dopo i tumori di prostata e polmone) e la seconda nelle donne (dopo il tumore della mammella).</w:t>
      </w:r>
    </w:p>
    <w:p w:rsidR="00FB30D2" w:rsidRPr="00FB30D2" w:rsidRDefault="00FB30D2" w:rsidP="00FB30D2">
      <w:pPr>
        <w:autoSpaceDE w:val="0"/>
        <w:autoSpaceDN w:val="0"/>
        <w:adjustRightInd w:val="0"/>
        <w:spacing w:line="360" w:lineRule="auto"/>
        <w:jc w:val="both"/>
        <w:rPr>
          <w:rFonts w:eastAsia="MinionPro-Regular" w:cs="Times New Roman"/>
          <w:lang w:eastAsia="en-US"/>
        </w:rPr>
      </w:pPr>
      <w:r w:rsidRPr="00FB30D2">
        <w:rPr>
          <w:rFonts w:eastAsia="MinionPro-Regular" w:cs="Times New Roman"/>
          <w:color w:val="auto"/>
          <w:lang w:eastAsia="en-US"/>
        </w:rPr>
        <w:t>La stima al 2022 dei nuovi casi di tumori del colon retto in Europa</w:t>
      </w:r>
      <w:r w:rsidRPr="00FB30D2">
        <w:rPr>
          <w:rStyle w:val="Richiamoallanotaapidipagina"/>
          <w:rFonts w:eastAsia="MinionPro-Regular" w:cs="Times New Roman"/>
          <w:color w:val="auto"/>
          <w:lang w:eastAsia="en-US"/>
        </w:rPr>
        <w:footnoteReference w:id="1"/>
      </w:r>
      <w:r w:rsidRPr="00FB30D2">
        <w:rPr>
          <w:rFonts w:eastAsia="MinionPro-Regular" w:cs="Times New Roman"/>
          <w:color w:val="auto"/>
          <w:lang w:eastAsia="en-US"/>
        </w:rPr>
        <w:t xml:space="preserve"> è di un ASR di 92,7 per 100.000 nei maschi e 58,2 per 100.000 nelle donne con un numero totale di casi atteso di 356.154 (197.456 maschi e 158.698 donne). In Italia</w:t>
      </w:r>
      <w:r w:rsidRPr="00FB30D2">
        <w:rPr>
          <w:rFonts w:eastAsia="MinionPro-Regular" w:cs="Times New Roman"/>
          <w:color w:val="auto"/>
          <w:vertAlign w:val="superscript"/>
          <w:lang w:eastAsia="en-US"/>
        </w:rPr>
        <w:t>1</w:t>
      </w:r>
      <w:r w:rsidRPr="00FB30D2">
        <w:rPr>
          <w:rFonts w:eastAsia="MinionPro-Regular" w:cs="Times New Roman"/>
          <w:color w:val="auto"/>
          <w:lang w:eastAsia="en-US"/>
        </w:rPr>
        <w:t xml:space="preserve"> gli equivalenti dati stimati al 2022 indicano un ASR di 91,0 per 100.000 nei maschi e 63,1 per 100.000 donne con una stima totale dei casi attesi nel 2022 di 54.784 (29.225 maschi e 25.559 donne). In Campania</w:t>
      </w:r>
      <w:r w:rsidRPr="00FB30D2">
        <w:rPr>
          <w:rStyle w:val="Richiamoallanotaapidipagina"/>
          <w:rFonts w:eastAsia="MinionPro-Regular" w:cs="Times New Roman"/>
          <w:color w:val="auto"/>
          <w:lang w:eastAsia="en-US"/>
        </w:rPr>
        <w:footnoteReference w:id="2"/>
      </w:r>
      <w:r w:rsidRPr="00FB30D2">
        <w:rPr>
          <w:rFonts w:eastAsia="MinionPro-Regular" w:cs="Times New Roman"/>
          <w:color w:val="auto"/>
          <w:lang w:eastAsia="en-US"/>
        </w:rPr>
        <w:t xml:space="preserve"> </w:t>
      </w:r>
      <w:r w:rsidRPr="00FB30D2">
        <w:rPr>
          <w:rFonts w:eastAsia="MinionPro-Regular" w:cs="Times New Roman"/>
          <w:lang w:eastAsia="en-US"/>
        </w:rPr>
        <w:t>è stato rilevato, per il periodo 2014/2018, nei maschi, un ASR di 87,8 per 100.000, e nelle donne un tasso di incidenza di 55,0 per 100.000.</w:t>
      </w:r>
    </w:p>
    <w:p w:rsidR="00FB30D2" w:rsidRPr="00FB30D2" w:rsidRDefault="00FB30D2" w:rsidP="00FB30D2">
      <w:pPr>
        <w:autoSpaceDE w:val="0"/>
        <w:autoSpaceDN w:val="0"/>
        <w:adjustRightInd w:val="0"/>
        <w:spacing w:line="360" w:lineRule="auto"/>
        <w:jc w:val="both"/>
        <w:rPr>
          <w:rFonts w:eastAsia="MinionPro-Regular" w:cs="Times New Roman"/>
          <w:lang w:eastAsia="en-US"/>
        </w:rPr>
      </w:pPr>
      <w:r w:rsidRPr="00FB30D2">
        <w:rPr>
          <w:rFonts w:eastAsia="MinionPro-Regular" w:cs="Times New Roman"/>
          <w:lang w:eastAsia="en-US"/>
        </w:rPr>
        <w:t>L’andamento temporale in Campania</w:t>
      </w:r>
      <w:r w:rsidRPr="00FB30D2">
        <w:rPr>
          <w:rFonts w:eastAsia="MinionPro-Regular" w:cs="Times New Roman"/>
          <w:vertAlign w:val="superscript"/>
          <w:lang w:eastAsia="en-US"/>
        </w:rPr>
        <w:t>2</w:t>
      </w:r>
      <w:r w:rsidRPr="00FB30D2">
        <w:rPr>
          <w:rFonts w:eastAsia="MinionPro-Regular" w:cs="Times New Roman"/>
          <w:lang w:eastAsia="en-US"/>
        </w:rPr>
        <w:t>, periodo 2010/2024, si presenta diverso per i due generi; infatti i tassi di incidenza sono:</w:t>
      </w:r>
    </w:p>
    <w:p w:rsidR="00FB30D2" w:rsidRPr="00FB30D2" w:rsidRDefault="00FB30D2" w:rsidP="00FB30D2">
      <w:pPr>
        <w:pStyle w:val="Paragrafoelenco"/>
        <w:numPr>
          <w:ilvl w:val="0"/>
          <w:numId w:val="24"/>
        </w:numPr>
        <w:autoSpaceDE w:val="0"/>
        <w:autoSpaceDN w:val="0"/>
        <w:adjustRightInd w:val="0"/>
        <w:spacing w:line="360" w:lineRule="auto"/>
        <w:contextualSpacing/>
        <w:jc w:val="both"/>
        <w:rPr>
          <w:rFonts w:ascii="Times New Roman" w:hAnsi="Times New Roman" w:cs="Times New Roman"/>
          <w:spacing w:val="-3"/>
          <w:w w:val="95"/>
          <w:sz w:val="24"/>
          <w:szCs w:val="24"/>
        </w:rPr>
      </w:pPr>
      <w:r w:rsidRPr="00FB30D2">
        <w:rPr>
          <w:rFonts w:ascii="Times New Roman" w:eastAsia="MinionPro-Regular" w:hAnsi="Times New Roman" w:cs="Times New Roman"/>
          <w:sz w:val="24"/>
          <w:szCs w:val="24"/>
        </w:rPr>
        <w:t xml:space="preserve">stabili nei maschi, in assenza di APC (Annual Percentage Change) significative, con un ASR stimato al 2024 di 87,4 per 100.000 con un numero di 2.429 nuovi casi annui attesi; </w:t>
      </w:r>
      <w:r w:rsidRPr="00FB30D2">
        <w:rPr>
          <w:rFonts w:ascii="Times New Roman" w:hAnsi="Times New Roman" w:cs="Times New Roman"/>
          <w:spacing w:val="-3"/>
          <w:w w:val="95"/>
          <w:sz w:val="24"/>
          <w:szCs w:val="24"/>
        </w:rPr>
        <w:t xml:space="preserve"> </w:t>
      </w:r>
    </w:p>
    <w:p w:rsidR="00FB30D2" w:rsidRPr="00FB30D2" w:rsidRDefault="00FB30D2" w:rsidP="00FB30D2">
      <w:pPr>
        <w:pStyle w:val="Paragrafoelenco"/>
        <w:numPr>
          <w:ilvl w:val="0"/>
          <w:numId w:val="24"/>
        </w:numPr>
        <w:autoSpaceDE w:val="0"/>
        <w:autoSpaceDN w:val="0"/>
        <w:adjustRightInd w:val="0"/>
        <w:spacing w:line="360" w:lineRule="auto"/>
        <w:contextualSpacing/>
        <w:jc w:val="both"/>
        <w:rPr>
          <w:rFonts w:ascii="Times New Roman" w:hAnsi="Times New Roman" w:cs="Times New Roman"/>
          <w:spacing w:val="-3"/>
          <w:w w:val="95"/>
          <w:sz w:val="24"/>
          <w:szCs w:val="24"/>
        </w:rPr>
      </w:pPr>
      <w:r w:rsidRPr="00FB30D2">
        <w:rPr>
          <w:rFonts w:ascii="Times New Roman" w:eastAsia="MinionPro-Regular" w:hAnsi="Times New Roman" w:cs="Times New Roman"/>
          <w:sz w:val="24"/>
          <w:szCs w:val="24"/>
        </w:rPr>
        <w:t xml:space="preserve">in incremento nelle donne, con una APC (Annual Percentage Change) di + 0,9 (IC95%: 0,4; 1,4), ed un ASR stimato al 2024 di 59,3 per 100.000 con un numero di 1.926 nuovi casi annui attesi. </w:t>
      </w:r>
      <w:r w:rsidRPr="00FB30D2">
        <w:rPr>
          <w:rFonts w:ascii="Times New Roman" w:hAnsi="Times New Roman" w:cs="Times New Roman"/>
          <w:spacing w:val="-3"/>
          <w:w w:val="95"/>
          <w:sz w:val="24"/>
          <w:szCs w:val="24"/>
        </w:rPr>
        <w:t xml:space="preserve"> </w:t>
      </w:r>
    </w:p>
    <w:p w:rsidR="00FB30D2" w:rsidRPr="00FB30D2" w:rsidRDefault="00FB30D2" w:rsidP="00FB30D2">
      <w:pPr>
        <w:spacing w:before="100" w:after="100" w:line="360" w:lineRule="auto"/>
        <w:jc w:val="both"/>
        <w:rPr>
          <w:rFonts w:eastAsia="MinionPro-Regular" w:cs="Times New Roman"/>
          <w:b/>
          <w:bCs/>
          <w:color w:val="auto"/>
          <w:lang w:eastAsia="en-US"/>
        </w:rPr>
      </w:pPr>
      <w:r w:rsidRPr="00FB30D2">
        <w:rPr>
          <w:rFonts w:eastAsia="MinionPro-Regular" w:cs="Times New Roman"/>
          <w:b/>
          <w:bCs/>
          <w:color w:val="auto"/>
          <w:lang w:eastAsia="en-US"/>
        </w:rPr>
        <w:t>Mortalità</w:t>
      </w:r>
    </w:p>
    <w:p w:rsidR="00FB30D2" w:rsidRPr="00FB30D2" w:rsidRDefault="00FB30D2" w:rsidP="007348D3">
      <w:pPr>
        <w:spacing w:after="93" w:line="360" w:lineRule="auto"/>
        <w:ind w:left="72" w:right="-7" w:hanging="10"/>
        <w:jc w:val="both"/>
        <w:rPr>
          <w:rFonts w:eastAsia="MinionPro-Regular" w:cs="Times New Roman"/>
          <w:lang w:eastAsia="en-US"/>
        </w:rPr>
      </w:pPr>
      <w:r w:rsidRPr="00FB30D2">
        <w:rPr>
          <w:rFonts w:eastAsia="MinionPro-Regular" w:cs="Times New Roman"/>
          <w:color w:val="auto"/>
          <w:lang w:eastAsia="en-US"/>
        </w:rPr>
        <w:t>In Italia i decessi per tumori del colon retto rappresentano la seconda causa di morte sia nei maschi che nelle donne (rispettivamente dopo il tumore polmonare e della mammella); in Campania il tumore del colon retto rappresenta la seconda causa di morte nei maschi (dopo i tumori polmonari) e la terza causa nelle donne (dopo i tumori della mammella e del polmone). La stima al 2022 dei decessi per tumori del colon retto in Europa</w:t>
      </w:r>
      <w:r w:rsidRPr="00FB30D2">
        <w:rPr>
          <w:rFonts w:eastAsia="MinionPro-Regular" w:cs="Times New Roman"/>
          <w:color w:val="auto"/>
          <w:vertAlign w:val="superscript"/>
          <w:lang w:eastAsia="en-US"/>
        </w:rPr>
        <w:t>2</w:t>
      </w:r>
      <w:r w:rsidRPr="00FB30D2">
        <w:rPr>
          <w:rFonts w:eastAsia="MinionPro-Regular" w:cs="Times New Roman"/>
          <w:color w:val="auto"/>
          <w:lang w:eastAsia="en-US"/>
        </w:rPr>
        <w:t xml:space="preserve"> è di un ASR di mortalità di 42,8 per 100.000 nei maschi e 24,6 per 100.000 nelle donne con un numero totale di decessi stimati di 158.956 (88.585 maschi e 70.371 donne). In Italia</w:t>
      </w:r>
      <w:r w:rsidRPr="00FB30D2">
        <w:rPr>
          <w:rFonts w:eastAsia="MinionPro-Regular" w:cs="Times New Roman"/>
          <w:color w:val="auto"/>
          <w:vertAlign w:val="superscript"/>
          <w:lang w:eastAsia="en-US"/>
        </w:rPr>
        <w:t>2</w:t>
      </w:r>
      <w:r w:rsidRPr="00FB30D2">
        <w:rPr>
          <w:rFonts w:eastAsia="MinionPro-Regular" w:cs="Times New Roman"/>
          <w:color w:val="auto"/>
          <w:lang w:eastAsia="en-US"/>
        </w:rPr>
        <w:t xml:space="preserve"> gli equivalenti dati stimati al 2022 indicano un ASR di 40,3 per 100.000 nei maschi e 25,4 per 100.000 nelle donne con una stima dei decessi totali nel 2022 di 24.188 (12.982 maschi e 11.206 donne). In Campania</w:t>
      </w:r>
      <w:r w:rsidRPr="00FB30D2">
        <w:rPr>
          <w:rFonts w:eastAsia="MinionPro-Regular" w:cs="Times New Roman"/>
          <w:color w:val="auto"/>
          <w:vertAlign w:val="superscript"/>
          <w:lang w:eastAsia="en-US"/>
        </w:rPr>
        <w:t>2</w:t>
      </w:r>
      <w:r w:rsidRPr="00FB30D2">
        <w:rPr>
          <w:rFonts w:eastAsia="MinionPro-Regular" w:cs="Times New Roman"/>
          <w:lang w:eastAsia="en-US"/>
        </w:rPr>
        <w:t xml:space="preserve">, nel quinquennio 2015/2019, è stato rilevato un ASR di mortalità di 38,1 per 100.000 nei maschi e 22,5 per 100.000 nelle donne. </w:t>
      </w: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b/>
          <w:bCs/>
          <w:color w:val="auto"/>
          <w:lang w:eastAsia="en-US"/>
        </w:rPr>
        <w:t>Sopravvivenz</w:t>
      </w:r>
      <w:r w:rsidRPr="00FB30D2">
        <w:rPr>
          <w:rFonts w:eastAsia="MinionPro-Regular" w:cs="Times New Roman"/>
          <w:color w:val="auto"/>
          <w:lang w:eastAsia="en-US"/>
        </w:rPr>
        <w:t>a</w:t>
      </w: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color w:val="auto"/>
          <w:lang w:eastAsia="en-US"/>
        </w:rPr>
        <w:t>La sopravvivenza per tumore del colon retto</w:t>
      </w:r>
      <w:r w:rsidRPr="00FB30D2">
        <w:rPr>
          <w:rStyle w:val="Richiamoallanotaapidipagina"/>
          <w:rFonts w:eastAsia="MinionPro-Regular" w:cs="Times New Roman"/>
          <w:color w:val="auto"/>
          <w:lang w:eastAsia="en-US"/>
        </w:rPr>
        <w:footnoteReference w:id="3"/>
      </w:r>
      <w:r w:rsidRPr="00FB30D2">
        <w:rPr>
          <w:rFonts w:eastAsia="MinionPro-Regular" w:cs="Times New Roman"/>
          <w:color w:val="auto"/>
          <w:lang w:eastAsia="en-US"/>
        </w:rPr>
        <w:t xml:space="preserve"> a 5 anni dalla diagnosi è pari al 65% in Italia, senza differenze tra maschi e femmine; in Campania la sopravvivenza a cinque anni è pari al 58% nei maschi e 60% nelle donne, con un differenziale, quindi, rispetto alla media italiana di -7 punti e -5 punti percentuali rispettivamente nei maschi e nelle donne. Come per il tumore della mammella anche per il tumore del colon retto il differenziale negativo di sopravvivenza riguarda l’intero meridione d’Italia ed è presente non solo a cinque anni dalla diagnosi, ma si mantiene anche a cinque anni dopo il primo anno di sopravvivenza (Italia 77% VS Sud-Isole 71%) ed a cinque anni dopo cinque anni di sopravvivenza (Italia 93% VS Sud-Isole 90%). Anche per questo tumore i dati evidenziano la presenza di criticità non soltanto nella fase iniziale di anticipazione diagnostica, con una significativa minore estensione ed adesione allo screening, ma anche lungo l’intero percorso diagnostico-clinico- assistenziale successivo alla diagnosi iniziale.</w:t>
      </w:r>
    </w:p>
    <w:p w:rsidR="00FB30D2" w:rsidRPr="00FB30D2" w:rsidRDefault="00FB30D2" w:rsidP="00FB30D2">
      <w:pPr>
        <w:spacing w:before="100" w:after="100" w:line="360" w:lineRule="auto"/>
        <w:jc w:val="both"/>
        <w:rPr>
          <w:rFonts w:eastAsia="MinionPro-Regular" w:cs="Times New Roman"/>
          <w:b/>
          <w:bCs/>
          <w:color w:val="auto"/>
          <w:lang w:eastAsia="en-US"/>
        </w:rPr>
      </w:pPr>
      <w:r w:rsidRPr="00FB30D2">
        <w:rPr>
          <w:rFonts w:eastAsia="MinionPro-Regular" w:cs="Times New Roman"/>
          <w:b/>
          <w:bCs/>
          <w:color w:val="auto"/>
          <w:lang w:eastAsia="en-US"/>
        </w:rPr>
        <w:t>Percorsi diagnostico clinici dei pazienti residenti in Regione Campania</w:t>
      </w: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color w:val="auto"/>
          <w:lang w:eastAsia="en-US"/>
        </w:rPr>
        <w:t>In considerazione che nell’ambito della Rete Oncologica Regionale gli indicatori di valutazione per i volumi chirurgici prodotti dalle strutture di diagnosi e cura sono diversi per colon e retto, vengono di seguito decritti in modo separato i percorsi delle due sedi di neoplasia.</w:t>
      </w:r>
    </w:p>
    <w:p w:rsidR="00FB30D2" w:rsidRPr="00FB30D2" w:rsidRDefault="00FB30D2" w:rsidP="00FB30D2">
      <w:pPr>
        <w:spacing w:before="100" w:after="100" w:line="360" w:lineRule="auto"/>
        <w:jc w:val="both"/>
        <w:rPr>
          <w:rFonts w:eastAsia="MinionPro-Regular" w:cs="Times New Roman"/>
          <w:b/>
          <w:bCs/>
          <w:color w:val="auto"/>
          <w:lang w:eastAsia="en-US"/>
        </w:rPr>
      </w:pPr>
      <w:r w:rsidRPr="00FB30D2">
        <w:rPr>
          <w:rFonts w:eastAsia="MinionPro-Regular" w:cs="Times New Roman"/>
          <w:b/>
          <w:bCs/>
          <w:color w:val="auto"/>
          <w:lang w:eastAsia="en-US"/>
        </w:rPr>
        <w:t xml:space="preserve">Tumore del colon </w:t>
      </w:r>
    </w:p>
    <w:p w:rsidR="00FB30D2" w:rsidRPr="00FB30D2" w:rsidRDefault="00FB30D2" w:rsidP="00FB30D2">
      <w:pPr>
        <w:spacing w:before="100" w:after="100" w:line="360" w:lineRule="auto"/>
        <w:jc w:val="both"/>
        <w:rPr>
          <w:rFonts w:eastAsia="MinionPro-Regular" w:cs="Times New Roman"/>
          <w:color w:val="auto"/>
          <w:lang w:eastAsia="en-US"/>
        </w:rPr>
      </w:pPr>
      <w:bookmarkStart w:id="1" w:name="_Hlk138531965"/>
      <w:r w:rsidRPr="00FB30D2">
        <w:rPr>
          <w:rFonts w:eastAsia="MinionPro-Regular" w:cs="Times New Roman"/>
          <w:color w:val="auto"/>
          <w:lang w:eastAsia="en-US"/>
        </w:rPr>
        <w:t xml:space="preserve">Nel corso del 2022 sono stati trattati chirurgicamente per tumore del colon 2.195 pazienti residenti in Campania; di questi 1.948 (88,7% della casistica) sono stati trattati in 73 diverse strutture regionali di diagnosi e cura e 247 (11,3 % della casistica) sono stati trattati in ulteriori 89 diverse strutture extraregionali. </w:t>
      </w:r>
    </w:p>
    <w:p w:rsidR="00FB30D2" w:rsidRPr="00FB30D2" w:rsidRDefault="00FB30D2" w:rsidP="00FB30D2">
      <w:pPr>
        <w:autoSpaceDE w:val="0"/>
        <w:autoSpaceDN w:val="0"/>
        <w:adjustRightInd w:val="0"/>
        <w:spacing w:before="100" w:after="80" w:line="360" w:lineRule="auto"/>
        <w:jc w:val="both"/>
        <w:rPr>
          <w:rFonts w:eastAsia="MinionPro-Regular" w:cs="Times New Roman"/>
          <w:lang w:eastAsia="en-US"/>
        </w:rPr>
      </w:pPr>
      <w:r w:rsidRPr="00FB30D2">
        <w:rPr>
          <w:rFonts w:eastAsia="MinionPro-Regular" w:cs="Times New Roman"/>
          <w:lang w:eastAsia="en-US"/>
        </w:rPr>
        <w:t xml:space="preserve">L’importante mobilità passiva per chirurgia dei tumori del colon, oltre alla estrema frammentazione dei percorsi di diagnosi e cura, sia a livello regionale che extraregionale, ha subito una lieve riduzione nel 2020 - anno Covid, rispetto al triennio immediatamente precedente (8,4% </w:t>
      </w:r>
      <w:r w:rsidR="004C7023" w:rsidRPr="00FB30D2">
        <w:rPr>
          <w:rFonts w:eastAsia="MinionPro-Regular" w:cs="Times New Roman"/>
          <w:lang w:eastAsia="en-US"/>
        </w:rPr>
        <w:t>contro</w:t>
      </w:r>
      <w:r w:rsidR="004C7023">
        <w:rPr>
          <w:rFonts w:eastAsia="MinionPro-Regular" w:cs="Times New Roman"/>
          <w:lang w:eastAsia="en-US"/>
        </w:rPr>
        <w:t xml:space="preserve"> </w:t>
      </w:r>
      <w:r w:rsidR="004C7023" w:rsidRPr="00FB30D2">
        <w:rPr>
          <w:rFonts w:eastAsia="MinionPro-Regular" w:cs="Times New Roman"/>
          <w:lang w:eastAsia="en-US"/>
        </w:rPr>
        <w:t>l</w:t>
      </w:r>
      <w:r w:rsidRPr="00FB30D2">
        <w:rPr>
          <w:rFonts w:eastAsia="MinionPro-Regular" w:cs="Times New Roman"/>
          <w:lang w:eastAsia="en-US"/>
        </w:rPr>
        <w:t>’11,3% del triennio 2017/2019), ma ha poi ripreso ad aumentare nel 2021 (10,4%) e nel 2022 per riportarsi ai livelli del periodo pre-Covid.</w:t>
      </w:r>
    </w:p>
    <w:p w:rsidR="00FB30D2" w:rsidRPr="00FB30D2" w:rsidRDefault="00FB30D2" w:rsidP="00FB30D2">
      <w:pPr>
        <w:pBdr>
          <w:top w:val="nil"/>
          <w:left w:val="nil"/>
          <w:bottom w:val="nil"/>
          <w:right w:val="nil"/>
          <w:between w:val="nil"/>
        </w:pBdr>
        <w:spacing w:line="360" w:lineRule="auto"/>
        <w:ind w:right="333"/>
        <w:jc w:val="both"/>
        <w:rPr>
          <w:rFonts w:cs="Times New Roman"/>
        </w:rPr>
      </w:pPr>
      <w:r w:rsidRPr="00FB30D2">
        <w:rPr>
          <w:rFonts w:cs="Times New Roman"/>
        </w:rPr>
        <w:t>Tale andamento suggerisce un attento monitoraggio dei percorsi di diagnosi e cura oltre all’attivazione di possibili meccanismi correttivi nell’ambito della Rete Oncologica regionale per meglio impattare sulla migrazione extraregionale per la chirurgia delle neoplasie del colon.</w:t>
      </w:r>
    </w:p>
    <w:bookmarkEnd w:id="1"/>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color w:val="auto"/>
          <w:lang w:eastAsia="en-US"/>
        </w:rPr>
        <w:t xml:space="preserve">La Rete Oncologica Regionale ha identificato, nel dicembre del 2023, 64 strutture regionali abilitate ad entrare in Rete, </w:t>
      </w:r>
      <w:r w:rsidRPr="00FB30D2">
        <w:rPr>
          <w:rFonts w:eastAsia="MinionPro-Regular" w:cs="Times New Roman"/>
          <w:lang w:eastAsia="en-US"/>
        </w:rPr>
        <w:t xml:space="preserve">in osservazione triennale 2023/2025, </w:t>
      </w:r>
      <w:r w:rsidRPr="00FB30D2">
        <w:rPr>
          <w:rFonts w:eastAsia="MinionPro-Regular" w:cs="Times New Roman"/>
          <w:color w:val="auto"/>
          <w:lang w:eastAsia="en-US"/>
        </w:rPr>
        <w:t>per la chirurgia dei tumori del colon</w:t>
      </w:r>
      <w:r w:rsidRPr="00FB30D2">
        <w:rPr>
          <w:rStyle w:val="Rimandonotaapidipagina"/>
          <w:rFonts w:cs="Times New Roman"/>
          <w:color w:val="auto"/>
        </w:rPr>
        <w:footnoteReference w:id="4"/>
      </w:r>
      <w:r w:rsidRPr="00FB30D2">
        <w:rPr>
          <w:rFonts w:eastAsia="MinionPro-Regular" w:cs="Times New Roman"/>
          <w:color w:val="auto"/>
          <w:lang w:eastAsia="en-US"/>
        </w:rPr>
        <w:t>.</w:t>
      </w:r>
    </w:p>
    <w:p w:rsidR="00FB30D2" w:rsidRPr="00FB30D2" w:rsidRDefault="00FB30D2" w:rsidP="00FB30D2">
      <w:pPr>
        <w:autoSpaceDE w:val="0"/>
        <w:autoSpaceDN w:val="0"/>
        <w:adjustRightInd w:val="0"/>
        <w:spacing w:before="100" w:after="100" w:line="360" w:lineRule="auto"/>
        <w:jc w:val="both"/>
        <w:rPr>
          <w:rFonts w:cs="Times New Roman"/>
        </w:rPr>
      </w:pPr>
      <w:r w:rsidRPr="00FB30D2">
        <w:rPr>
          <w:rFonts w:eastAsia="MinionPro-Regular" w:cs="Times New Roman"/>
          <w:lang w:eastAsia="en-US"/>
        </w:rPr>
        <w:t>(per la distribuzione delle strutture regionali vedi</w:t>
      </w:r>
      <w:r w:rsidRPr="00FB30D2">
        <w:rPr>
          <w:rFonts w:cs="Times New Roman"/>
        </w:rPr>
        <w:t xml:space="preserve"> mappa sotto riportata)</w:t>
      </w:r>
    </w:p>
    <w:p w:rsidR="00FB30D2" w:rsidRPr="00FB30D2" w:rsidRDefault="00FB30D2" w:rsidP="00FB30D2">
      <w:pPr>
        <w:spacing w:before="100" w:after="100" w:line="360" w:lineRule="auto"/>
        <w:jc w:val="both"/>
        <w:rPr>
          <w:rFonts w:eastAsia="MinionPro-Regular" w:cs="Times New Roman"/>
          <w:color w:val="auto"/>
          <w:lang w:eastAsia="en-US"/>
        </w:rPr>
      </w:pP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cs="Times New Roman"/>
          <w:noProof/>
        </w:rPr>
        <w:drawing>
          <wp:inline distT="0" distB="0" distL="0" distR="0" wp14:anchorId="3EBE4E9B" wp14:editId="25DA5984">
            <wp:extent cx="6116320" cy="4985468"/>
            <wp:effectExtent l="0" t="0" r="0" b="5715"/>
            <wp:docPr id="3654405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40507" name=""/>
                    <pic:cNvPicPr/>
                  </pic:nvPicPr>
                  <pic:blipFill>
                    <a:blip r:embed="rId9"/>
                    <a:stretch>
                      <a:fillRect/>
                    </a:stretch>
                  </pic:blipFill>
                  <pic:spPr>
                    <a:xfrm>
                      <a:off x="0" y="0"/>
                      <a:ext cx="6119841" cy="4988338"/>
                    </a:xfrm>
                    <a:prstGeom prst="rect">
                      <a:avLst/>
                    </a:prstGeom>
                  </pic:spPr>
                </pic:pic>
              </a:graphicData>
            </a:graphic>
          </wp:inline>
        </w:drawing>
      </w:r>
    </w:p>
    <w:p w:rsidR="00801E05" w:rsidRDefault="00801E05" w:rsidP="00801E05">
      <w:pPr>
        <w:spacing w:before="100" w:after="100" w:line="360" w:lineRule="auto"/>
        <w:rPr>
          <w:rFonts w:eastAsia="Times New Roman" w:cs="Times New Roman"/>
          <w:b/>
        </w:rPr>
      </w:pPr>
      <w:r>
        <w:rPr>
          <w:rFonts w:eastAsia="Times New Roman" w:cs="Times New Roman"/>
          <w:b/>
        </w:rPr>
        <w:t xml:space="preserve">La mappa è in fase di revisione in base alla valutazione annuale del Decreto n.477 del 4 novembre 2021 </w:t>
      </w:r>
      <w:r w:rsidRPr="0058334A">
        <w:rPr>
          <w:rFonts w:eastAsia="Times New Roman" w:cs="Times New Roman"/>
          <w:b/>
        </w:rPr>
        <w:t>attuato con Delibera 272 del 7.6.2022</w:t>
      </w:r>
      <w:r>
        <w:rPr>
          <w:rFonts w:eastAsia="Times New Roman" w:cs="Times New Roman"/>
          <w:b/>
        </w:rPr>
        <w:t>. Gli aggiornamenti della mappa saranno pubblicati sul sito della Rete Oncologica Campana (</w:t>
      </w:r>
      <w:hyperlink r:id="rId10" w:history="1">
        <w:r w:rsidRPr="008B6A72">
          <w:rPr>
            <w:rStyle w:val="Collegamentoipertestuale"/>
            <w:rFonts w:eastAsia="Times New Roman" w:cs="Times New Roman"/>
            <w:b/>
          </w:rPr>
          <w:t>https://www.reteoncologicacampana.it/</w:t>
        </w:r>
      </w:hyperlink>
      <w:r>
        <w:rPr>
          <w:rFonts w:eastAsia="Times New Roman" w:cs="Times New Roman"/>
          <w:b/>
        </w:rPr>
        <w:t>)</w:t>
      </w:r>
    </w:p>
    <w:p w:rsidR="00FB30D2" w:rsidRPr="00FB30D2" w:rsidRDefault="00FB30D2" w:rsidP="00FB30D2">
      <w:pPr>
        <w:spacing w:before="100" w:after="100" w:line="360" w:lineRule="auto"/>
        <w:jc w:val="both"/>
        <w:rPr>
          <w:rFonts w:eastAsia="MinionPro-Regular" w:cs="Times New Roman"/>
          <w:b/>
          <w:bCs/>
          <w:color w:val="auto"/>
          <w:lang w:eastAsia="en-US"/>
        </w:rPr>
      </w:pPr>
    </w:p>
    <w:p w:rsidR="00FB30D2" w:rsidRPr="00FB30D2" w:rsidRDefault="00FB30D2" w:rsidP="00FB30D2">
      <w:pPr>
        <w:spacing w:before="100" w:after="100" w:line="360" w:lineRule="auto"/>
        <w:jc w:val="both"/>
        <w:rPr>
          <w:rFonts w:eastAsia="MinionPro-Regular" w:cs="Times New Roman"/>
          <w:b/>
          <w:bCs/>
          <w:color w:val="auto"/>
          <w:lang w:eastAsia="en-US"/>
        </w:rPr>
      </w:pPr>
      <w:r w:rsidRPr="00FB30D2">
        <w:rPr>
          <w:rFonts w:eastAsia="MinionPro-Regular" w:cs="Times New Roman"/>
          <w:b/>
          <w:bCs/>
          <w:color w:val="auto"/>
          <w:lang w:eastAsia="en-US"/>
        </w:rPr>
        <w:t>Tumore del retto</w:t>
      </w: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color w:val="auto"/>
          <w:lang w:eastAsia="en-US"/>
        </w:rPr>
        <w:t>Nel corso del 2022, sono stati trattati chirurgicamente per tumore del retto 796 pazienti</w:t>
      </w:r>
      <w:r w:rsidRPr="00FB30D2">
        <w:rPr>
          <w:rFonts w:eastAsia="MinionPro-Regular" w:cs="Times New Roman"/>
          <w:color w:val="auto"/>
          <w:vertAlign w:val="superscript"/>
          <w:lang w:eastAsia="en-US"/>
        </w:rPr>
        <w:t xml:space="preserve"> </w:t>
      </w:r>
      <w:r w:rsidRPr="00FB30D2">
        <w:rPr>
          <w:rFonts w:eastAsia="MinionPro-Regular" w:cs="Times New Roman"/>
          <w:color w:val="auto"/>
          <w:lang w:eastAsia="en-US"/>
        </w:rPr>
        <w:t xml:space="preserve">residenti in Campania; di questi 694 (87,2% della casistica) sono stati trattati in 56 diverse strutture regionali di diagnosi e cura e 102 (12,8% della casistica) sono stati trattati in ulteriori 34 diverse strutture extraregionali. </w:t>
      </w:r>
    </w:p>
    <w:p w:rsidR="00FB30D2" w:rsidRPr="00FB30D2" w:rsidRDefault="00FB30D2" w:rsidP="00FB30D2">
      <w:pPr>
        <w:spacing w:before="100" w:after="100" w:line="360" w:lineRule="auto"/>
        <w:jc w:val="both"/>
        <w:rPr>
          <w:rFonts w:eastAsia="MinionPro-Regular" w:cs="Times New Roman"/>
          <w:lang w:eastAsia="en-US"/>
        </w:rPr>
      </w:pPr>
      <w:r w:rsidRPr="00FB30D2">
        <w:rPr>
          <w:rFonts w:eastAsia="MinionPro-Regular" w:cs="Times New Roman"/>
          <w:lang w:eastAsia="en-US"/>
        </w:rPr>
        <w:t>L’importante mobilità passiva riferita ai tumori del retto oltre che del colon, associata anche per questa sede alla estrema frammentazione dei percorsi di diagnosi e cura, sia a livello regionale che extraregionale, ha subito una lieve riduzione nel 2020 - anno Covid, rispetto al triennio immediatamente precedente (14% contro il 15,8% del triennio 2017/2019) per poi avere un andamento altalenante con il 15,6% del 2021 e poi ridiscendere nel 2022.</w:t>
      </w:r>
    </w:p>
    <w:p w:rsidR="00FB30D2" w:rsidRPr="00FB30D2" w:rsidRDefault="00FB30D2" w:rsidP="00FB30D2">
      <w:pPr>
        <w:pBdr>
          <w:top w:val="nil"/>
          <w:left w:val="nil"/>
          <w:bottom w:val="nil"/>
          <w:right w:val="nil"/>
          <w:between w:val="nil"/>
        </w:pBdr>
        <w:spacing w:line="360" w:lineRule="auto"/>
        <w:ind w:right="333"/>
        <w:jc w:val="both"/>
        <w:rPr>
          <w:rFonts w:cs="Times New Roman"/>
        </w:rPr>
      </w:pPr>
      <w:r w:rsidRPr="00FB30D2">
        <w:rPr>
          <w:rFonts w:cs="Times New Roman"/>
        </w:rPr>
        <w:t>Anche per il tumore del retto l’andamento della mobilità passiva e della frammentazione dei percorsi sanitari suggerisce un attento monitoraggio degli stessi oltre all’attivazione di possibili meccanismi correttivi nell’ambito della Rete Oncologica regionale per meglio impattare sulla migrazione extraregionale per la chirurgia delle neoplasie del retto.</w:t>
      </w:r>
    </w:p>
    <w:p w:rsidR="00FB30D2" w:rsidRPr="00FB30D2" w:rsidRDefault="00FB30D2" w:rsidP="00FB30D2">
      <w:pPr>
        <w:spacing w:before="100" w:after="100" w:line="360" w:lineRule="auto"/>
        <w:jc w:val="both"/>
        <w:rPr>
          <w:rFonts w:eastAsia="MinionPro-Regular" w:cs="Times New Roman"/>
          <w:color w:val="auto"/>
          <w:lang w:eastAsia="en-US"/>
        </w:rPr>
      </w:pPr>
      <w:r w:rsidRPr="00FB30D2">
        <w:rPr>
          <w:rFonts w:eastAsia="MinionPro-Regular" w:cs="Times New Roman"/>
          <w:color w:val="auto"/>
          <w:lang w:eastAsia="en-US"/>
        </w:rPr>
        <w:t>La Rete Oncologica Regionale ha identificato, nel dicembre del 2023, 55 strutture regionali abilitate ad entrare in Rete,</w:t>
      </w:r>
      <w:r w:rsidRPr="00FB30D2">
        <w:rPr>
          <w:rFonts w:eastAsia="MinionPro-Regular" w:cs="Times New Roman"/>
          <w:lang w:eastAsia="en-US"/>
        </w:rPr>
        <w:t xml:space="preserve"> in osservazione triennale 2023/2025, </w:t>
      </w:r>
      <w:r w:rsidRPr="00FB30D2">
        <w:rPr>
          <w:rFonts w:eastAsia="MinionPro-Regular" w:cs="Times New Roman"/>
          <w:color w:val="auto"/>
          <w:lang w:eastAsia="en-US"/>
        </w:rPr>
        <w:t>per la chirurgia dei tumori del retto</w:t>
      </w:r>
      <w:r w:rsidRPr="00FB30D2">
        <w:rPr>
          <w:rFonts w:eastAsia="MinionPro-Regular" w:cs="Times New Roman"/>
          <w:color w:val="auto"/>
          <w:vertAlign w:val="superscript"/>
          <w:lang w:eastAsia="en-US"/>
        </w:rPr>
        <w:t>4</w:t>
      </w:r>
      <w:r w:rsidRPr="00FB30D2">
        <w:rPr>
          <w:rFonts w:eastAsia="MinionPro-Regular" w:cs="Times New Roman"/>
          <w:color w:val="auto"/>
          <w:lang w:eastAsia="en-US"/>
        </w:rPr>
        <w:t>.</w:t>
      </w:r>
    </w:p>
    <w:p w:rsidR="00FB30D2" w:rsidRPr="00FB30D2" w:rsidRDefault="00FB30D2" w:rsidP="00FB30D2">
      <w:pPr>
        <w:autoSpaceDE w:val="0"/>
        <w:autoSpaceDN w:val="0"/>
        <w:adjustRightInd w:val="0"/>
        <w:spacing w:before="100" w:after="100" w:line="360" w:lineRule="auto"/>
        <w:jc w:val="both"/>
        <w:rPr>
          <w:rFonts w:eastAsia="MinionPro-Regular" w:cs="Times New Roman"/>
          <w:lang w:eastAsia="en-US"/>
        </w:rPr>
      </w:pPr>
      <w:r w:rsidRPr="00FB30D2">
        <w:rPr>
          <w:rFonts w:eastAsia="MinionPro-Regular" w:cs="Times New Roman"/>
          <w:lang w:eastAsia="en-US"/>
        </w:rPr>
        <w:t>(per la distribuzione delle strutture regionali vedi mappa sotto riportata)</w:t>
      </w:r>
    </w:p>
    <w:p w:rsidR="00FB30D2" w:rsidRPr="00FB30D2" w:rsidRDefault="00FB30D2" w:rsidP="00FB30D2">
      <w:pPr>
        <w:spacing w:before="100" w:after="100" w:line="360" w:lineRule="auto"/>
        <w:jc w:val="both"/>
        <w:rPr>
          <w:rFonts w:eastAsia="MinionPro-Regular" w:cs="Times New Roman"/>
          <w:color w:val="auto"/>
          <w:lang w:eastAsia="en-US"/>
        </w:rPr>
      </w:pPr>
    </w:p>
    <w:p w:rsidR="00FB30D2" w:rsidRPr="00FB30D2" w:rsidRDefault="00FB30D2" w:rsidP="00FB30D2">
      <w:pPr>
        <w:tabs>
          <w:tab w:val="left" w:pos="1055"/>
        </w:tabs>
        <w:spacing w:line="360" w:lineRule="auto"/>
        <w:jc w:val="both"/>
        <w:rPr>
          <w:rFonts w:cs="Times New Roman"/>
          <w:b/>
          <w:bCs/>
          <w:color w:val="auto"/>
        </w:rPr>
      </w:pPr>
    </w:p>
    <w:p w:rsidR="00FB30D2" w:rsidRPr="00FB30D2" w:rsidRDefault="00FB30D2" w:rsidP="00FB30D2">
      <w:pPr>
        <w:tabs>
          <w:tab w:val="left" w:pos="1055"/>
        </w:tabs>
        <w:spacing w:line="360" w:lineRule="auto"/>
        <w:jc w:val="both"/>
        <w:rPr>
          <w:rFonts w:cs="Times New Roman"/>
          <w:b/>
          <w:bCs/>
          <w:color w:val="auto"/>
        </w:rPr>
      </w:pPr>
      <w:r w:rsidRPr="00FB30D2">
        <w:rPr>
          <w:rFonts w:cs="Times New Roman"/>
          <w:noProof/>
        </w:rPr>
        <w:drawing>
          <wp:inline distT="0" distB="0" distL="0" distR="0" wp14:anchorId="44A8EDA7" wp14:editId="1FB1EB33">
            <wp:extent cx="6116320" cy="4993419"/>
            <wp:effectExtent l="0" t="0" r="0" b="0"/>
            <wp:docPr id="18751400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40010" name=""/>
                    <pic:cNvPicPr/>
                  </pic:nvPicPr>
                  <pic:blipFill>
                    <a:blip r:embed="rId11"/>
                    <a:stretch>
                      <a:fillRect/>
                    </a:stretch>
                  </pic:blipFill>
                  <pic:spPr>
                    <a:xfrm>
                      <a:off x="0" y="0"/>
                      <a:ext cx="6119796" cy="4996257"/>
                    </a:xfrm>
                    <a:prstGeom prst="rect">
                      <a:avLst/>
                    </a:prstGeom>
                  </pic:spPr>
                </pic:pic>
              </a:graphicData>
            </a:graphic>
          </wp:inline>
        </w:drawing>
      </w:r>
    </w:p>
    <w:p w:rsidR="00FB30D2" w:rsidRPr="00FB30D2" w:rsidRDefault="00FB30D2" w:rsidP="00FB30D2">
      <w:pPr>
        <w:tabs>
          <w:tab w:val="left" w:pos="1055"/>
        </w:tabs>
        <w:spacing w:line="360" w:lineRule="auto"/>
        <w:jc w:val="both"/>
        <w:rPr>
          <w:rFonts w:cs="Times New Roman"/>
          <w:b/>
          <w:bCs/>
          <w:color w:val="auto"/>
        </w:rPr>
      </w:pPr>
    </w:p>
    <w:p w:rsidR="00FB30D2" w:rsidRPr="00FB30D2" w:rsidRDefault="00FB30D2" w:rsidP="00FB30D2">
      <w:pPr>
        <w:tabs>
          <w:tab w:val="left" w:pos="1055"/>
        </w:tabs>
        <w:spacing w:line="360" w:lineRule="auto"/>
        <w:jc w:val="both"/>
        <w:rPr>
          <w:rFonts w:cs="Times New Roman"/>
          <w:b/>
          <w:bCs/>
          <w:color w:val="auto"/>
        </w:rPr>
      </w:pPr>
    </w:p>
    <w:p w:rsidR="00FB30D2" w:rsidRPr="00FB30D2" w:rsidRDefault="00FB30D2" w:rsidP="00FB30D2">
      <w:pPr>
        <w:tabs>
          <w:tab w:val="left" w:pos="1055"/>
        </w:tabs>
        <w:spacing w:line="360" w:lineRule="auto"/>
        <w:jc w:val="both"/>
        <w:rPr>
          <w:rFonts w:cs="Times New Roman"/>
          <w:b/>
          <w:bCs/>
          <w:color w:val="auto"/>
        </w:rPr>
      </w:pPr>
    </w:p>
    <w:p w:rsidR="00FB30D2" w:rsidRPr="00FB30D2" w:rsidRDefault="00FB30D2" w:rsidP="00FB30D2">
      <w:pPr>
        <w:tabs>
          <w:tab w:val="left" w:pos="1055"/>
        </w:tabs>
        <w:spacing w:line="360" w:lineRule="auto"/>
        <w:jc w:val="both"/>
        <w:rPr>
          <w:rFonts w:cs="Times New Roman"/>
          <w:b/>
          <w:bCs/>
          <w:color w:val="auto"/>
        </w:rPr>
      </w:pPr>
    </w:p>
    <w:p w:rsidR="00FB30D2" w:rsidRPr="00FB30D2" w:rsidRDefault="00FB30D2" w:rsidP="00FB30D2">
      <w:pPr>
        <w:tabs>
          <w:tab w:val="left" w:pos="1055"/>
        </w:tabs>
        <w:spacing w:line="360" w:lineRule="auto"/>
        <w:jc w:val="both"/>
        <w:rPr>
          <w:rFonts w:cs="Times New Roman"/>
          <w:b/>
          <w:bCs/>
          <w:color w:val="auto"/>
        </w:rPr>
      </w:pPr>
    </w:p>
    <w:p w:rsidR="00FB30D2" w:rsidRPr="00FB30D2" w:rsidRDefault="00FB30D2" w:rsidP="00FB30D2">
      <w:pPr>
        <w:tabs>
          <w:tab w:val="left" w:pos="1055"/>
        </w:tabs>
        <w:spacing w:line="360" w:lineRule="auto"/>
        <w:jc w:val="both"/>
        <w:rPr>
          <w:rFonts w:cs="Times New Roman"/>
          <w:b/>
          <w:bCs/>
          <w:color w:val="auto"/>
        </w:rPr>
      </w:pPr>
    </w:p>
    <w:p w:rsidR="00FB30D2" w:rsidRPr="00FB30D2" w:rsidRDefault="00FB30D2" w:rsidP="00FB30D2">
      <w:pPr>
        <w:tabs>
          <w:tab w:val="left" w:pos="1055"/>
        </w:tabs>
        <w:spacing w:line="360" w:lineRule="auto"/>
        <w:jc w:val="both"/>
        <w:rPr>
          <w:rFonts w:cs="Times New Roman"/>
          <w:b/>
          <w:bCs/>
          <w:color w:val="auto"/>
        </w:rPr>
      </w:pPr>
      <w:r w:rsidRPr="00FB30D2">
        <w:rPr>
          <w:rFonts w:cs="Times New Roman"/>
          <w:b/>
          <w:bCs/>
          <w:color w:val="auto"/>
        </w:rPr>
        <w:t>PERCORSO PER SEGMENTAZIONE</w:t>
      </w:r>
    </w:p>
    <w:p w:rsidR="00FB30D2" w:rsidRPr="00FB30D2" w:rsidRDefault="00FB30D2" w:rsidP="00FB30D2">
      <w:pPr>
        <w:pStyle w:val="Paragrafoelenco"/>
        <w:numPr>
          <w:ilvl w:val="0"/>
          <w:numId w:val="1"/>
        </w:numPr>
        <w:tabs>
          <w:tab w:val="clear" w:pos="720"/>
          <w:tab w:val="left" w:pos="690"/>
        </w:tabs>
        <w:spacing w:line="360" w:lineRule="auto"/>
        <w:ind w:left="690" w:hanging="330"/>
        <w:jc w:val="both"/>
        <w:rPr>
          <w:rFonts w:ascii="Times New Roman" w:eastAsia="Times New Roman" w:hAnsi="Times New Roman" w:cs="Times New Roman"/>
          <w:color w:val="auto"/>
          <w:sz w:val="24"/>
          <w:szCs w:val="24"/>
        </w:rPr>
      </w:pPr>
      <w:r w:rsidRPr="00FB30D2">
        <w:rPr>
          <w:rFonts w:ascii="Times New Roman" w:hAnsi="Times New Roman" w:cs="Times New Roman"/>
          <w:color w:val="auto"/>
          <w:sz w:val="24"/>
          <w:szCs w:val="24"/>
        </w:rPr>
        <w:t>Screening con ricerca del sangue occulto nelle feci (SOF) per persone asintomatiche</w:t>
      </w:r>
    </w:p>
    <w:p w:rsidR="00FB30D2" w:rsidRPr="00FB30D2" w:rsidRDefault="00FB30D2" w:rsidP="00FB30D2">
      <w:pPr>
        <w:pStyle w:val="Paragrafoelenco"/>
        <w:numPr>
          <w:ilvl w:val="0"/>
          <w:numId w:val="2"/>
        </w:numPr>
        <w:tabs>
          <w:tab w:val="clear" w:pos="720"/>
          <w:tab w:val="left" w:pos="690"/>
        </w:tabs>
        <w:spacing w:line="360" w:lineRule="auto"/>
        <w:ind w:left="690" w:hanging="330"/>
        <w:jc w:val="both"/>
        <w:rPr>
          <w:rFonts w:ascii="Times New Roman" w:eastAsia="Times New Roman" w:hAnsi="Times New Roman" w:cs="Times New Roman"/>
          <w:color w:val="auto"/>
          <w:sz w:val="24"/>
          <w:szCs w:val="24"/>
        </w:rPr>
      </w:pPr>
      <w:r w:rsidRPr="00FB30D2">
        <w:rPr>
          <w:rFonts w:ascii="Times New Roman" w:hAnsi="Times New Roman" w:cs="Times New Roman"/>
          <w:color w:val="auto"/>
          <w:sz w:val="24"/>
          <w:szCs w:val="24"/>
        </w:rPr>
        <w:t>Percorso diagnostico per pazienti con sospetta neoplasia colon-rettale</w:t>
      </w:r>
    </w:p>
    <w:p w:rsidR="00FB30D2" w:rsidRPr="00FB30D2" w:rsidRDefault="00FB30D2" w:rsidP="00FB30D2">
      <w:pPr>
        <w:pStyle w:val="Paragrafoelenco"/>
        <w:numPr>
          <w:ilvl w:val="0"/>
          <w:numId w:val="3"/>
        </w:numPr>
        <w:tabs>
          <w:tab w:val="clear" w:pos="720"/>
          <w:tab w:val="left" w:pos="690"/>
        </w:tabs>
        <w:spacing w:line="360" w:lineRule="auto"/>
        <w:ind w:left="690" w:hanging="330"/>
        <w:jc w:val="both"/>
        <w:rPr>
          <w:rFonts w:ascii="Times New Roman" w:eastAsia="Times New Roman" w:hAnsi="Times New Roman" w:cs="Times New Roman"/>
          <w:color w:val="auto"/>
          <w:sz w:val="24"/>
          <w:szCs w:val="24"/>
        </w:rPr>
      </w:pPr>
      <w:r w:rsidRPr="00FB30D2">
        <w:rPr>
          <w:rFonts w:ascii="Times New Roman" w:hAnsi="Times New Roman" w:cs="Times New Roman"/>
          <w:color w:val="auto"/>
          <w:sz w:val="24"/>
          <w:szCs w:val="24"/>
        </w:rPr>
        <w:t xml:space="preserve">Percorso stadiativo/terapeutico per pazienti con neoplasia colon-rettale accertata </w:t>
      </w:r>
    </w:p>
    <w:p w:rsidR="00FB30D2" w:rsidRPr="00FB30D2" w:rsidRDefault="00FB30D2" w:rsidP="00FB30D2">
      <w:pPr>
        <w:pStyle w:val="Paragrafoelenco"/>
        <w:numPr>
          <w:ilvl w:val="0"/>
          <w:numId w:val="4"/>
        </w:numPr>
        <w:tabs>
          <w:tab w:val="left" w:pos="690"/>
        </w:tabs>
        <w:spacing w:line="360" w:lineRule="auto"/>
        <w:ind w:left="690" w:hanging="330"/>
        <w:jc w:val="both"/>
        <w:rPr>
          <w:rFonts w:ascii="Times New Roman" w:eastAsia="Times New Roman" w:hAnsi="Times New Roman" w:cs="Times New Roman"/>
          <w:color w:val="auto"/>
          <w:sz w:val="24"/>
          <w:szCs w:val="24"/>
        </w:rPr>
      </w:pPr>
      <w:r w:rsidRPr="00FB30D2">
        <w:rPr>
          <w:rFonts w:ascii="Times New Roman" w:hAnsi="Times New Roman" w:cs="Times New Roman"/>
          <w:color w:val="auto"/>
          <w:sz w:val="24"/>
          <w:szCs w:val="24"/>
        </w:rPr>
        <w:t xml:space="preserve">Follow-up per pazienti con pregressa neoplasia colon-rettale </w:t>
      </w:r>
    </w:p>
    <w:p w:rsidR="001F2F65" w:rsidRPr="00FB30D2" w:rsidRDefault="001F2F65" w:rsidP="00FB30D2">
      <w:pPr>
        <w:spacing w:line="360" w:lineRule="auto"/>
        <w:jc w:val="both"/>
        <w:rPr>
          <w:rFonts w:cs="Times New Roman"/>
          <w:color w:val="auto"/>
        </w:rPr>
      </w:pPr>
    </w:p>
    <w:p w:rsidR="001F2F65" w:rsidRPr="00FB30D2" w:rsidRDefault="00ED7B5A" w:rsidP="00FB30D2">
      <w:pPr>
        <w:spacing w:line="360" w:lineRule="auto"/>
        <w:jc w:val="both"/>
        <w:rPr>
          <w:rFonts w:cs="Times New Roman"/>
          <w:b/>
          <w:bCs/>
          <w:caps/>
          <w:color w:val="auto"/>
        </w:rPr>
      </w:pPr>
      <w:r w:rsidRPr="00FB30D2">
        <w:rPr>
          <w:rFonts w:cs="Times New Roman"/>
          <w:b/>
          <w:bCs/>
          <w:caps/>
          <w:color w:val="auto"/>
        </w:rPr>
        <w:t>Screening con ricerca del sangue occulto nelle feci (SOF) Per persone asintomatiche</w:t>
      </w:r>
    </w:p>
    <w:p w:rsidR="00EA0217" w:rsidRPr="00FB30D2" w:rsidRDefault="00ED7B5A" w:rsidP="00FB30D2">
      <w:pPr>
        <w:spacing w:line="360" w:lineRule="auto"/>
        <w:jc w:val="both"/>
        <w:rPr>
          <w:rFonts w:cs="Times New Roman"/>
          <w:color w:val="auto"/>
        </w:rPr>
      </w:pPr>
      <w:r w:rsidRPr="00FB30D2">
        <w:rPr>
          <w:rFonts w:cs="Times New Roman"/>
          <w:color w:val="auto"/>
        </w:rPr>
        <w:t xml:space="preserve">Lo Screening mediante Sangue Occulto nelle Feci (SOF) è una procedura Attualizzata dalle Strutture territoriali (Presidi Ospedalieri di Base, Ambulatori delle ASL, con il contributo dei Medici di Medicina generale -MMG). La popolazione target è rappresentata da donne ed uomini nella fascia d’età compresa tra 50 e 74 anni. La negatività allo screening prevede la ripetizione biennale. Il percorso previsto per lo screening della patologia colon-rettale è riportato in figura 1. </w:t>
      </w: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Pr="00FB30D2" w:rsidRDefault="00FB30D2" w:rsidP="00FB30D2">
      <w:pPr>
        <w:spacing w:line="360" w:lineRule="auto"/>
        <w:jc w:val="both"/>
        <w:rPr>
          <w:rFonts w:cs="Times New Roman"/>
          <w:color w:val="auto"/>
        </w:rPr>
      </w:pPr>
    </w:p>
    <w:p w:rsidR="00FB30D2" w:rsidRDefault="00FB30D2" w:rsidP="00FB30D2">
      <w:pPr>
        <w:spacing w:line="360" w:lineRule="auto"/>
        <w:jc w:val="both"/>
        <w:rPr>
          <w:rFonts w:cs="Times New Roman"/>
          <w:color w:val="auto"/>
        </w:rPr>
      </w:pPr>
    </w:p>
    <w:p w:rsidR="00E477CC" w:rsidRDefault="00E477CC" w:rsidP="00FB30D2">
      <w:pPr>
        <w:spacing w:line="360" w:lineRule="auto"/>
        <w:jc w:val="both"/>
        <w:rPr>
          <w:rFonts w:cs="Times New Roman"/>
          <w:color w:val="auto"/>
        </w:rPr>
      </w:pPr>
    </w:p>
    <w:p w:rsidR="00E477CC" w:rsidRPr="00FB30D2" w:rsidRDefault="00E477CC" w:rsidP="00FB30D2">
      <w:pPr>
        <w:spacing w:line="360" w:lineRule="auto"/>
        <w:jc w:val="both"/>
        <w:rPr>
          <w:rFonts w:cs="Times New Roman"/>
          <w:color w:val="auto"/>
        </w:rPr>
      </w:pPr>
    </w:p>
    <w:p w:rsidR="00EA0217" w:rsidRPr="00FB30D2" w:rsidRDefault="00EA0217" w:rsidP="00FB30D2">
      <w:pPr>
        <w:spacing w:line="360" w:lineRule="auto"/>
        <w:jc w:val="both"/>
        <w:rPr>
          <w:rFonts w:cs="Times New Roman"/>
          <w:b/>
          <w:bCs/>
          <w:color w:val="auto"/>
        </w:rPr>
      </w:pPr>
    </w:p>
    <w:p w:rsidR="001F2F65" w:rsidRPr="00FB30D2" w:rsidRDefault="00ED7B5A" w:rsidP="00FB30D2">
      <w:pPr>
        <w:spacing w:line="360" w:lineRule="auto"/>
        <w:jc w:val="both"/>
        <w:rPr>
          <w:rFonts w:cs="Times New Roman"/>
          <w:b/>
          <w:bCs/>
          <w:color w:val="auto"/>
        </w:rPr>
      </w:pPr>
      <w:r w:rsidRPr="00FB30D2">
        <w:rPr>
          <w:rFonts w:cs="Times New Roman"/>
          <w:b/>
          <w:bCs/>
          <w:color w:val="auto"/>
        </w:rPr>
        <w:t>Figura.1 Percorso dello screening colon-rettale</w:t>
      </w:r>
    </w:p>
    <w:p w:rsidR="001F2F65" w:rsidRPr="00FB30D2" w:rsidRDefault="002740EA" w:rsidP="00FB30D2">
      <w:pPr>
        <w:spacing w:line="360" w:lineRule="auto"/>
        <w:jc w:val="both"/>
        <w:rPr>
          <w:rFonts w:cs="Times New Roman"/>
          <w:color w:val="auto"/>
        </w:rPr>
      </w:pPr>
      <w:r w:rsidRPr="00FB30D2">
        <w:rPr>
          <w:rFonts w:cs="Times New Roman"/>
          <w:noProof/>
        </w:rPr>
        <w:drawing>
          <wp:inline distT="0" distB="0" distL="0" distR="0" wp14:anchorId="26ED3027" wp14:editId="102AEEF0">
            <wp:extent cx="6120130" cy="492188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921885"/>
                    </a:xfrm>
                    <a:prstGeom prst="rect">
                      <a:avLst/>
                    </a:prstGeom>
                  </pic:spPr>
                </pic:pic>
              </a:graphicData>
            </a:graphic>
          </wp:inline>
        </w:drawing>
      </w:r>
    </w:p>
    <w:p w:rsidR="001F2F65" w:rsidRPr="00FB30D2" w:rsidRDefault="00ED7B5A" w:rsidP="00FB30D2">
      <w:pPr>
        <w:spacing w:line="360" w:lineRule="auto"/>
        <w:ind w:right="760"/>
        <w:jc w:val="both"/>
        <w:rPr>
          <w:rFonts w:cs="Times New Roman"/>
          <w:color w:val="auto"/>
        </w:rPr>
      </w:pPr>
      <w:r w:rsidRPr="00FB30D2">
        <w:rPr>
          <w:rFonts w:cs="Times New Roman"/>
          <w:color w:val="auto"/>
        </w:rPr>
        <w:t xml:space="preserve">Donne </w:t>
      </w:r>
      <w:r w:rsidR="005245BE" w:rsidRPr="00FB30D2">
        <w:rPr>
          <w:rFonts w:cs="Times New Roman"/>
          <w:color w:val="auto"/>
        </w:rPr>
        <w:t>e</w:t>
      </w:r>
      <w:r w:rsidRPr="00FB30D2">
        <w:rPr>
          <w:rFonts w:cs="Times New Roman"/>
          <w:color w:val="auto"/>
        </w:rPr>
        <w:t xml:space="preserve"> uomini positive allo screening con S.O.F. saranno inviati dalle Strutture Territoriali preposte allo screening al centro di endoscopia territorialmente più vicino per l'esecuzione di un retto/colonscopia, previo colloquio pre-colonscopico  </w:t>
      </w:r>
    </w:p>
    <w:p w:rsidR="001F2F65" w:rsidRPr="00FB30D2" w:rsidRDefault="00ED7B5A" w:rsidP="00FB30D2">
      <w:pPr>
        <w:spacing w:line="360" w:lineRule="auto"/>
        <w:ind w:right="760"/>
        <w:jc w:val="both"/>
        <w:rPr>
          <w:rFonts w:cs="Times New Roman"/>
          <w:color w:val="auto"/>
        </w:rPr>
      </w:pPr>
      <w:r w:rsidRPr="00FB30D2">
        <w:rPr>
          <w:rFonts w:cs="Times New Roman"/>
          <w:color w:val="auto"/>
        </w:rPr>
        <w:t>Nel caso l’esame endoscopico risulti negativo per neoplasia la persona sarà reindirizzata al percorso screening.</w:t>
      </w:r>
    </w:p>
    <w:p w:rsidR="001F2F65" w:rsidRPr="00FB30D2" w:rsidRDefault="00ED7B5A" w:rsidP="00FB30D2">
      <w:pPr>
        <w:spacing w:line="360" w:lineRule="auto"/>
        <w:ind w:right="760"/>
        <w:jc w:val="both"/>
        <w:rPr>
          <w:rFonts w:cs="Times New Roman"/>
          <w:color w:val="auto"/>
        </w:rPr>
      </w:pPr>
      <w:r w:rsidRPr="00FB30D2">
        <w:rPr>
          <w:rFonts w:cs="Times New Roman"/>
          <w:color w:val="auto"/>
        </w:rPr>
        <w:t>I casi dubbi o d’incerta interpretazione saranno sottoposti agli approfondimenti che saranno ritenuti più opportuni caso per caso. Nel caso gli approfondimenti diagnostici risultino negativi per malignità il paziente sarà reindirizzato al percorso di screening.</w:t>
      </w:r>
    </w:p>
    <w:p w:rsidR="001F2F65" w:rsidRPr="00FB30D2" w:rsidRDefault="00ED7B5A" w:rsidP="00FB30D2">
      <w:pPr>
        <w:spacing w:line="360" w:lineRule="auto"/>
        <w:ind w:right="760"/>
        <w:jc w:val="both"/>
        <w:rPr>
          <w:rFonts w:cs="Times New Roman"/>
          <w:color w:val="auto"/>
        </w:rPr>
      </w:pPr>
      <w:r w:rsidRPr="00FB30D2">
        <w:rPr>
          <w:rFonts w:cs="Times New Roman"/>
          <w:color w:val="auto"/>
        </w:rPr>
        <w:t>Nel</w:t>
      </w:r>
      <w:r w:rsidR="005245BE" w:rsidRPr="00FB30D2">
        <w:rPr>
          <w:rFonts w:cs="Times New Roman"/>
          <w:color w:val="auto"/>
        </w:rPr>
        <w:t xml:space="preserve"> caso di esame endoscopico con </w:t>
      </w:r>
      <w:r w:rsidRPr="00FB30D2">
        <w:rPr>
          <w:rFonts w:cs="Times New Roman"/>
          <w:color w:val="auto"/>
        </w:rPr>
        <w:t xml:space="preserve">sospetto di </w:t>
      </w:r>
      <w:r w:rsidR="002740EA" w:rsidRPr="00FB30D2">
        <w:rPr>
          <w:rFonts w:cs="Times New Roman"/>
          <w:color w:val="auto"/>
        </w:rPr>
        <w:t>malignità,</w:t>
      </w:r>
      <w:r w:rsidRPr="00FB30D2">
        <w:rPr>
          <w:rFonts w:cs="Times New Roman"/>
          <w:color w:val="auto"/>
        </w:rPr>
        <w:t xml:space="preserve"> confermato dall’esame istologico, il paziente sarà inviato al Case Manager designato dal Gruppo Oncologico Multidisciplinare (GOM) responsabile della presa in carico, presso un centro oncologico di I o </w:t>
      </w:r>
      <w:r w:rsidR="002740EA" w:rsidRPr="00FB30D2">
        <w:rPr>
          <w:rFonts w:cs="Times New Roman"/>
          <w:color w:val="auto"/>
        </w:rPr>
        <w:t xml:space="preserve">II livello appartenenti al GOM </w:t>
      </w:r>
      <w:r w:rsidRPr="00FB30D2">
        <w:rPr>
          <w:rFonts w:cs="Times New Roman"/>
          <w:color w:val="auto"/>
        </w:rPr>
        <w:t>per la gestione diagnostico-terapeutica del caso (figura 3). L’esame istologico dovrà essere reso disponibile entro 14 giorni dalla procedura endoscopica.</w:t>
      </w:r>
    </w:p>
    <w:p w:rsidR="005245BE" w:rsidRPr="00FB30D2" w:rsidRDefault="005245BE" w:rsidP="00FB30D2">
      <w:pPr>
        <w:spacing w:line="360" w:lineRule="auto"/>
        <w:ind w:right="760"/>
        <w:jc w:val="both"/>
        <w:rPr>
          <w:rFonts w:cs="Times New Roman"/>
          <w:b/>
          <w:color w:val="auto"/>
        </w:rPr>
      </w:pPr>
    </w:p>
    <w:p w:rsidR="001F2F65" w:rsidRPr="00FB30D2" w:rsidRDefault="00ED7B5A" w:rsidP="00FB30D2">
      <w:pPr>
        <w:spacing w:line="360" w:lineRule="auto"/>
        <w:ind w:right="760"/>
        <w:jc w:val="both"/>
        <w:rPr>
          <w:rFonts w:cs="Times New Roman"/>
          <w:color w:val="auto"/>
        </w:rPr>
      </w:pPr>
      <w:r w:rsidRPr="00FB30D2">
        <w:rPr>
          <w:rFonts w:cs="Times New Roman"/>
          <w:b/>
          <w:color w:val="auto"/>
        </w:rPr>
        <w:t>PERCORSO DIAGNOSTICO PER PAZIENTI CON SOSPETTA NEOPLASIA COLON-RETTALE</w:t>
      </w:r>
    </w:p>
    <w:p w:rsidR="001F2F65" w:rsidRPr="00FB30D2" w:rsidRDefault="00ED7B5A" w:rsidP="00FB30D2">
      <w:pPr>
        <w:spacing w:line="360" w:lineRule="auto"/>
        <w:ind w:right="760"/>
        <w:jc w:val="both"/>
        <w:rPr>
          <w:rFonts w:cs="Times New Roman"/>
          <w:color w:val="auto"/>
        </w:rPr>
      </w:pPr>
      <w:r w:rsidRPr="00FB30D2">
        <w:rPr>
          <w:rFonts w:cs="Times New Roman"/>
          <w:color w:val="auto"/>
        </w:rPr>
        <w:t xml:space="preserve">Donne </w:t>
      </w:r>
      <w:r w:rsidR="005245BE" w:rsidRPr="00FB30D2">
        <w:rPr>
          <w:rFonts w:cs="Times New Roman"/>
          <w:color w:val="auto"/>
        </w:rPr>
        <w:t>e</w:t>
      </w:r>
      <w:r w:rsidRPr="00FB30D2">
        <w:rPr>
          <w:rFonts w:cs="Times New Roman"/>
          <w:color w:val="auto"/>
        </w:rPr>
        <w:t xml:space="preserve"> uomini di almeno 18 anni, con sintomi sospetti per neoplasia colon-rettale (es. ematochezie, rettorragia, stipsi ostinata, anemia) dovranno afferire autonomamente od opportunamente indirizzati dal proprio medico di MMG o altro medico specialista di riferimento presso un centro di endoscopia territorialmente più vicino per l'esecuzione di un retto/colonscopia. Il percorso diagnostico nel caso di una sospetta neoplasia colon-rettale è riportato in figura 2. </w:t>
      </w:r>
    </w:p>
    <w:p w:rsidR="001F2F65" w:rsidRPr="00FB30D2" w:rsidRDefault="00ED7B5A" w:rsidP="00FB30D2">
      <w:pPr>
        <w:spacing w:line="360" w:lineRule="auto"/>
        <w:ind w:right="760"/>
        <w:jc w:val="both"/>
        <w:rPr>
          <w:rFonts w:cs="Times New Roman"/>
          <w:color w:val="auto"/>
        </w:rPr>
      </w:pPr>
      <w:r w:rsidRPr="00FB30D2">
        <w:rPr>
          <w:rFonts w:cs="Times New Roman"/>
          <w:color w:val="auto"/>
        </w:rPr>
        <w:t>Nel caso l’esame endoscopico risulti negativo per neoplasia la persona sarà indirizzata al percorso screening e/o assistenziale, più idoneo alla sua condizione clinica come previsto dalle linee guida più attuali.</w:t>
      </w:r>
    </w:p>
    <w:p w:rsidR="001F2F65" w:rsidRPr="00FB30D2" w:rsidRDefault="00ED7B5A" w:rsidP="00FB30D2">
      <w:pPr>
        <w:spacing w:line="360" w:lineRule="auto"/>
        <w:ind w:right="760"/>
        <w:jc w:val="both"/>
        <w:rPr>
          <w:rFonts w:cs="Times New Roman"/>
          <w:color w:val="auto"/>
        </w:rPr>
      </w:pPr>
      <w:r w:rsidRPr="00FB30D2">
        <w:rPr>
          <w:rFonts w:cs="Times New Roman"/>
          <w:color w:val="auto"/>
        </w:rPr>
        <w:t>I casi dubbi o d’incerta interpretazione saranno sottoposti agli approfondimenti, ripetizione della biopsia, che saranno ritenuti più opportuni caso per caso.</w:t>
      </w:r>
    </w:p>
    <w:p w:rsidR="001F2F65" w:rsidRPr="00FB30D2" w:rsidRDefault="00ED7B5A" w:rsidP="00FB30D2">
      <w:pPr>
        <w:spacing w:line="360" w:lineRule="auto"/>
        <w:ind w:right="760"/>
        <w:jc w:val="both"/>
        <w:rPr>
          <w:rFonts w:cs="Times New Roman"/>
          <w:color w:val="auto"/>
        </w:rPr>
      </w:pPr>
      <w:r w:rsidRPr="00FB30D2">
        <w:rPr>
          <w:rFonts w:cs="Times New Roman"/>
          <w:color w:val="auto"/>
        </w:rPr>
        <w:t>I casi dubbi o d’incerta interpretazione saranno sottoposti a ulteriori approfondimenti, ritenuti opportuni caso per caso Nel caso gli approfondimenti diagnostici risultino negativi per malignità il paziente sarà indirizzato a un percorso di screening o di follow-up.</w:t>
      </w:r>
    </w:p>
    <w:p w:rsidR="001F2F65" w:rsidRPr="00FB30D2" w:rsidRDefault="00ED7B5A" w:rsidP="00FB30D2">
      <w:pPr>
        <w:spacing w:line="360" w:lineRule="auto"/>
        <w:ind w:right="760"/>
        <w:jc w:val="both"/>
        <w:rPr>
          <w:rFonts w:cs="Times New Roman"/>
          <w:color w:val="auto"/>
        </w:rPr>
      </w:pPr>
      <w:r w:rsidRPr="00FB30D2">
        <w:rPr>
          <w:rFonts w:cs="Times New Roman"/>
          <w:color w:val="auto"/>
        </w:rPr>
        <w:t>Nel caso l’esame endoscopico istologico confermi il sospetto di malignità il paziente sarà inviato al Case Manager designato dal GOM responsabile della presa in carico, presso un CORP o CORPUS per la gestione diagnostico-terapeutica del caso, figura 3. L’esame istologico dovrà essere reso disponibile entro 14 giorni dalla procedura endoscopica.</w:t>
      </w:r>
    </w:p>
    <w:p w:rsidR="001F2F65" w:rsidRPr="00FB30D2" w:rsidRDefault="001F2F65" w:rsidP="00FB30D2">
      <w:pPr>
        <w:pStyle w:val="Paragrafoelenco"/>
        <w:spacing w:line="360" w:lineRule="auto"/>
        <w:ind w:right="760"/>
        <w:jc w:val="both"/>
        <w:rPr>
          <w:rFonts w:ascii="Times New Roman" w:eastAsia="Arial Unicode MS" w:hAnsi="Times New Roman" w:cs="Times New Roman"/>
          <w:color w:val="auto"/>
          <w:sz w:val="24"/>
          <w:szCs w:val="24"/>
        </w:rPr>
      </w:pPr>
    </w:p>
    <w:p w:rsidR="001F2F65" w:rsidRPr="00FB30D2" w:rsidRDefault="001F2F65" w:rsidP="00FB30D2">
      <w:pPr>
        <w:pStyle w:val="Paragrafoelenco"/>
        <w:spacing w:line="360" w:lineRule="auto"/>
        <w:ind w:right="760"/>
        <w:jc w:val="both"/>
        <w:rPr>
          <w:rFonts w:ascii="Times New Roman" w:eastAsia="Arial Unicode MS" w:hAnsi="Times New Roman" w:cs="Times New Roman"/>
          <w:color w:val="auto"/>
          <w:sz w:val="24"/>
          <w:szCs w:val="24"/>
        </w:rPr>
      </w:pPr>
    </w:p>
    <w:p w:rsidR="00FB30D2" w:rsidRPr="00FB30D2" w:rsidRDefault="00FB30D2" w:rsidP="00FB30D2">
      <w:pPr>
        <w:pStyle w:val="Paragrafoelenco"/>
        <w:spacing w:line="360" w:lineRule="auto"/>
        <w:ind w:right="760"/>
        <w:jc w:val="both"/>
        <w:rPr>
          <w:rFonts w:ascii="Times New Roman" w:eastAsia="Arial Unicode MS" w:hAnsi="Times New Roman" w:cs="Times New Roman"/>
          <w:color w:val="auto"/>
          <w:sz w:val="24"/>
          <w:szCs w:val="24"/>
        </w:rPr>
      </w:pPr>
    </w:p>
    <w:p w:rsidR="00FB30D2" w:rsidRPr="00FB30D2" w:rsidRDefault="00FB30D2" w:rsidP="00FB30D2">
      <w:pPr>
        <w:pStyle w:val="Paragrafoelenco"/>
        <w:spacing w:line="360" w:lineRule="auto"/>
        <w:ind w:right="760"/>
        <w:jc w:val="both"/>
        <w:rPr>
          <w:rFonts w:ascii="Times New Roman" w:eastAsia="Arial Unicode MS" w:hAnsi="Times New Roman" w:cs="Times New Roman"/>
          <w:color w:val="auto"/>
          <w:sz w:val="24"/>
          <w:szCs w:val="24"/>
        </w:rPr>
      </w:pPr>
    </w:p>
    <w:p w:rsidR="00FB30D2" w:rsidRPr="00FB30D2" w:rsidRDefault="00FB30D2" w:rsidP="00FB30D2">
      <w:pPr>
        <w:pStyle w:val="Paragrafoelenco"/>
        <w:spacing w:line="360" w:lineRule="auto"/>
        <w:ind w:right="760"/>
        <w:jc w:val="both"/>
        <w:rPr>
          <w:rFonts w:ascii="Times New Roman" w:eastAsia="Arial Unicode MS" w:hAnsi="Times New Roman" w:cs="Times New Roman"/>
          <w:color w:val="auto"/>
          <w:sz w:val="24"/>
          <w:szCs w:val="24"/>
        </w:rPr>
      </w:pPr>
    </w:p>
    <w:p w:rsidR="00FB30D2" w:rsidRPr="00FB30D2" w:rsidRDefault="00FB30D2" w:rsidP="00FB30D2">
      <w:pPr>
        <w:pStyle w:val="Paragrafoelenco"/>
        <w:spacing w:line="360" w:lineRule="auto"/>
        <w:ind w:right="760"/>
        <w:jc w:val="both"/>
        <w:rPr>
          <w:rFonts w:ascii="Times New Roman" w:eastAsia="Arial Unicode MS" w:hAnsi="Times New Roman" w:cs="Times New Roman"/>
          <w:color w:val="auto"/>
          <w:sz w:val="24"/>
          <w:szCs w:val="24"/>
        </w:rPr>
      </w:pPr>
    </w:p>
    <w:p w:rsidR="00FB30D2" w:rsidRPr="00FB30D2" w:rsidRDefault="00FB30D2" w:rsidP="00FB30D2">
      <w:pPr>
        <w:pStyle w:val="Paragrafoelenco"/>
        <w:spacing w:line="360" w:lineRule="auto"/>
        <w:ind w:right="760"/>
        <w:jc w:val="both"/>
        <w:rPr>
          <w:rFonts w:ascii="Times New Roman" w:eastAsia="Arial Unicode MS" w:hAnsi="Times New Roman" w:cs="Times New Roman"/>
          <w:color w:val="auto"/>
          <w:sz w:val="24"/>
          <w:szCs w:val="24"/>
        </w:rPr>
      </w:pPr>
    </w:p>
    <w:p w:rsidR="00FB30D2" w:rsidRPr="00FB30D2" w:rsidRDefault="00FB30D2" w:rsidP="00FB30D2">
      <w:pPr>
        <w:pStyle w:val="Paragrafoelenco"/>
        <w:spacing w:line="360" w:lineRule="auto"/>
        <w:ind w:right="760"/>
        <w:jc w:val="both"/>
        <w:rPr>
          <w:rFonts w:ascii="Times New Roman" w:eastAsia="Arial Unicode MS" w:hAnsi="Times New Roman" w:cs="Times New Roman"/>
          <w:color w:val="auto"/>
          <w:sz w:val="24"/>
          <w:szCs w:val="24"/>
        </w:rPr>
      </w:pPr>
    </w:p>
    <w:p w:rsidR="001F2F65" w:rsidRPr="00FB30D2" w:rsidRDefault="001F2F65" w:rsidP="00FB30D2">
      <w:pPr>
        <w:pStyle w:val="Paragrafoelenco"/>
        <w:spacing w:line="360" w:lineRule="auto"/>
        <w:ind w:right="760"/>
        <w:jc w:val="both"/>
        <w:rPr>
          <w:rFonts w:ascii="Times New Roman" w:eastAsia="Arial Unicode MS" w:hAnsi="Times New Roman" w:cs="Times New Roman"/>
          <w:color w:val="auto"/>
          <w:sz w:val="24"/>
          <w:szCs w:val="24"/>
        </w:rPr>
      </w:pPr>
    </w:p>
    <w:p w:rsidR="001F2F65" w:rsidRPr="00FB30D2" w:rsidRDefault="001F2F65" w:rsidP="00FB30D2">
      <w:pPr>
        <w:spacing w:line="360" w:lineRule="auto"/>
        <w:jc w:val="both"/>
        <w:rPr>
          <w:rFonts w:cs="Times New Roman"/>
          <w:b/>
          <w:bCs/>
          <w:color w:val="auto"/>
        </w:rPr>
      </w:pPr>
    </w:p>
    <w:p w:rsidR="001F2F65" w:rsidRPr="00FB30D2" w:rsidRDefault="00ED7B5A" w:rsidP="00FB30D2">
      <w:pPr>
        <w:spacing w:line="360" w:lineRule="auto"/>
        <w:jc w:val="both"/>
        <w:rPr>
          <w:rFonts w:cs="Times New Roman"/>
          <w:b/>
          <w:bCs/>
          <w:color w:val="auto"/>
        </w:rPr>
      </w:pPr>
      <w:r w:rsidRPr="00FB30D2">
        <w:rPr>
          <w:rFonts w:cs="Times New Roman"/>
          <w:b/>
          <w:bCs/>
          <w:color w:val="auto"/>
        </w:rPr>
        <w:t>Figura. 2 Percorso diagnostico per pazienti con sospetta neoplasia colon-rettale</w:t>
      </w:r>
    </w:p>
    <w:p w:rsidR="001F2F65" w:rsidRPr="00FB30D2" w:rsidRDefault="005245BE" w:rsidP="00FB30D2">
      <w:pPr>
        <w:pStyle w:val="Paragrafoelenco"/>
        <w:spacing w:line="360" w:lineRule="auto"/>
        <w:ind w:right="760"/>
        <w:jc w:val="both"/>
        <w:rPr>
          <w:rFonts w:ascii="Times New Roman" w:eastAsia="Times New Roman" w:hAnsi="Times New Roman" w:cs="Times New Roman"/>
          <w:color w:val="auto"/>
          <w:sz w:val="24"/>
          <w:szCs w:val="24"/>
        </w:rPr>
      </w:pPr>
      <w:r w:rsidRPr="00FB30D2">
        <w:rPr>
          <w:rFonts w:ascii="Times New Roman" w:eastAsia="Times New Roman" w:hAnsi="Times New Roman" w:cs="Times New Roman"/>
          <w:noProof/>
          <w:color w:val="auto"/>
          <w:sz w:val="24"/>
          <w:szCs w:val="24"/>
        </w:rPr>
        <w:drawing>
          <wp:inline distT="0" distB="0" distL="0" distR="0">
            <wp:extent cx="5779275" cy="4580626"/>
            <wp:effectExtent l="0" t="0" r="0" b="0"/>
            <wp:docPr id="134" name="Immagine 134" descr="\\10.30.220.8\kemio\PDTA 2022\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30.220.8\kemio\PDTA 2022\Cattu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288" cy="4583014"/>
                    </a:xfrm>
                    <a:prstGeom prst="rect">
                      <a:avLst/>
                    </a:prstGeom>
                    <a:noFill/>
                    <a:ln>
                      <a:noFill/>
                    </a:ln>
                  </pic:spPr>
                </pic:pic>
              </a:graphicData>
            </a:graphic>
          </wp:inline>
        </w:drawing>
      </w:r>
    </w:p>
    <w:p w:rsidR="001F2F65" w:rsidRPr="00FB30D2" w:rsidRDefault="00ED7B5A" w:rsidP="00FB30D2">
      <w:pPr>
        <w:spacing w:line="360" w:lineRule="auto"/>
        <w:ind w:right="760"/>
        <w:jc w:val="both"/>
        <w:rPr>
          <w:rFonts w:cs="Times New Roman"/>
          <w:b/>
          <w:bCs/>
          <w:caps/>
          <w:color w:val="auto"/>
        </w:rPr>
      </w:pPr>
      <w:r w:rsidRPr="00FB30D2">
        <w:rPr>
          <w:rFonts w:cs="Times New Roman"/>
          <w:b/>
          <w:bCs/>
          <w:caps/>
          <w:color w:val="auto"/>
        </w:rPr>
        <w:t xml:space="preserve">Percorso stadiativo/terapeutico per pazienti con neoplasia colon-rettale accertata </w:t>
      </w:r>
    </w:p>
    <w:p w:rsidR="001F2F65" w:rsidRPr="00FB30D2" w:rsidRDefault="00ED7B5A" w:rsidP="00FB30D2">
      <w:pPr>
        <w:spacing w:line="360" w:lineRule="auto"/>
        <w:jc w:val="both"/>
        <w:rPr>
          <w:rFonts w:cs="Times New Roman"/>
          <w:color w:val="auto"/>
        </w:rPr>
      </w:pPr>
      <w:r w:rsidRPr="00FB30D2">
        <w:rPr>
          <w:rFonts w:cs="Times New Roman"/>
          <w:color w:val="auto"/>
        </w:rPr>
        <w:t xml:space="preserve">Donne </w:t>
      </w:r>
      <w:r w:rsidR="00FB30D2" w:rsidRPr="00FB30D2">
        <w:rPr>
          <w:rFonts w:cs="Times New Roman"/>
          <w:color w:val="auto"/>
        </w:rPr>
        <w:t>e</w:t>
      </w:r>
      <w:r w:rsidRPr="00FB30D2">
        <w:rPr>
          <w:rFonts w:cs="Times New Roman"/>
          <w:color w:val="auto"/>
        </w:rPr>
        <w:t xml:space="preserve"> uomini adulti con una diagnosi di neoplasia colon-rettale dovranno afferire autonomamente od opportunamente indirizzati dal proprio MMG o altro medico specialista di riferimento presso un CORP o CORPUS per la gestione diagnostico-terapeutica del caso da parte del GOM specifico per la patologia tumorale colon-rettale. Compito del GOM sarà quello di definire il percorso diagnostico e terapeutico-assistenziale nelle varie fasi di malattia e di coordinare le diverse figure professionali che si faranno carico del paziente affetto da tumore colon-rettale per i propri ambiti di competenza specialistica. In particolare il GOM consentirà la pianificazione del trattamento ottimale per ciascun paziente mediante: </w:t>
      </w:r>
    </w:p>
    <w:p w:rsidR="001F2F65" w:rsidRPr="00FB30D2" w:rsidRDefault="00ED7B5A" w:rsidP="00FB30D2">
      <w:pPr>
        <w:pStyle w:val="Paragrafoelenco"/>
        <w:numPr>
          <w:ilvl w:val="0"/>
          <w:numId w:val="4"/>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Un’ accurata stadiazione del tumore.</w:t>
      </w:r>
    </w:p>
    <w:p w:rsidR="001F2F65" w:rsidRPr="00FB30D2" w:rsidRDefault="00ED7B5A" w:rsidP="00FB30D2">
      <w:pPr>
        <w:pStyle w:val="Paragrafoelenco"/>
        <w:numPr>
          <w:ilvl w:val="0"/>
          <w:numId w:val="4"/>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L’accesso a terapie multimodali integrate.</w:t>
      </w:r>
    </w:p>
    <w:p w:rsidR="001F2F65" w:rsidRPr="00FB30D2" w:rsidRDefault="00ED7B5A" w:rsidP="00FB30D2">
      <w:pPr>
        <w:pStyle w:val="Paragrafoelenco"/>
        <w:numPr>
          <w:ilvl w:val="0"/>
          <w:numId w:val="4"/>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L’accesso a terapie sistemiche personalizzate sulla base delle caratteristiche cliniche e molecolari della neoplasia</w:t>
      </w:r>
    </w:p>
    <w:p w:rsidR="001F2F65" w:rsidRPr="00FB30D2" w:rsidRDefault="00ED7B5A" w:rsidP="00FB30D2">
      <w:pPr>
        <w:tabs>
          <w:tab w:val="left" w:pos="1055"/>
        </w:tabs>
        <w:spacing w:line="360" w:lineRule="auto"/>
        <w:jc w:val="both"/>
        <w:rPr>
          <w:rFonts w:cs="Times New Roman"/>
          <w:color w:val="auto"/>
        </w:rPr>
      </w:pPr>
      <w:r w:rsidRPr="00FB30D2">
        <w:rPr>
          <w:rFonts w:cs="Times New Roman"/>
          <w:color w:val="auto"/>
        </w:rPr>
        <w:t xml:space="preserve">La presa in carico del paziente da parte del </w:t>
      </w:r>
      <w:r w:rsidRPr="00FB30D2">
        <w:rPr>
          <w:rFonts w:cs="Times New Roman"/>
          <w:i/>
          <w:iCs/>
          <w:color w:val="auto"/>
        </w:rPr>
        <w:t>core-team</w:t>
      </w:r>
      <w:r w:rsidRPr="00FB30D2">
        <w:rPr>
          <w:rFonts w:cs="Times New Roman"/>
          <w:color w:val="auto"/>
        </w:rPr>
        <w:t xml:space="preserve"> del GOM (oncologo medico, chirurgo colon-rettale e radioterapista) avverrà entro 3 giorni dalla prenotazione mediante l’infermiere Case Manager. Quest’ultimo si occuperà anche della prenotazione degli opportuni esami clinico-strumentali di stadiazione (figura 3), conformemente a quanto previsto dalle più recenti linee guida nazionali ed internazionali al fine di impostare il più adeguato percorso terapeutico sulla base dello stadio TNM. Tali esami potranno essere praticati presso i centri di I e II livello della Rete, su indirizzo del GOM responsabile della presa in carico del paziente. Il GOM si riunirà per la discussione dei casi clinici almeno una volta a settimana</w:t>
      </w:r>
      <w:r w:rsidRPr="00FB30D2">
        <w:rPr>
          <w:rFonts w:cs="Times New Roman"/>
          <w:b/>
          <w:bCs/>
          <w:color w:val="auto"/>
        </w:rPr>
        <w:t xml:space="preserve">. </w:t>
      </w:r>
      <w:r w:rsidRPr="00FB30D2">
        <w:rPr>
          <w:rFonts w:cs="Times New Roman"/>
          <w:color w:val="auto"/>
        </w:rPr>
        <w:t>Nel caso di diagnosi istologica di neoplasia del colon e del retto intraperitoneale (&gt;12 cm dal margine anale) il paziente sarà sottoposto ad anamnesi, esame obiettivo, esami ematochimici di routine, dosaggio dei marcatori tumorali sierici CEA e Ca19.9 e alla TAC torace-addome-pelvi con mezzo di contrasto. Nel caso di diagnosi istologica di neoplas</w:t>
      </w:r>
      <w:r w:rsidR="002740EA" w:rsidRPr="00FB30D2">
        <w:rPr>
          <w:rFonts w:cs="Times New Roman"/>
          <w:color w:val="auto"/>
        </w:rPr>
        <w:t xml:space="preserve">ia del retto extraperitoneale </w:t>
      </w:r>
      <w:r w:rsidR="00FB30D2" w:rsidRPr="00FB30D2">
        <w:rPr>
          <w:rFonts w:cs="Times New Roman"/>
          <w:color w:val="auto"/>
        </w:rPr>
        <w:t>(≤</w:t>
      </w:r>
      <w:r w:rsidRPr="00FB30D2">
        <w:rPr>
          <w:rFonts w:cs="Times New Roman"/>
          <w:color w:val="auto"/>
        </w:rPr>
        <w:t xml:space="preserve"> 12 cm dal margine anale), il paziente dovrà essere sottoposto, oltre agli esami elencati in precedenza, ad </w:t>
      </w:r>
      <w:r w:rsidR="005C71B0" w:rsidRPr="00FB30D2">
        <w:rPr>
          <w:rFonts w:cs="Times New Roman"/>
          <w:color w:val="auto"/>
        </w:rPr>
        <w:t>ecoendoscopia transrettale</w:t>
      </w:r>
      <w:r w:rsidRPr="00FB30D2">
        <w:rPr>
          <w:rFonts w:cs="Times New Roman"/>
          <w:color w:val="auto"/>
        </w:rPr>
        <w:t xml:space="preserve"> e RMN pelvi, quest’ultima necessaria per la definizione del margine circonferenziale (tabelle 2). La RMN del fegato e l’ecografia epatica con mezzo di contrasto (CEUS) non rappresentano degli esami di routine per la stadiazione del tumore colon-rettale e dovranno essere utilizzate qualora siano presenti dei reperti dubbi alla TAC relativi a localizzazioni secondarie epatiche. Allo stesso modo la PET, che non rappresenta un esame di routine, dovrebbe essere utilizzata esclusivamente nei pazienti metastatici candidati a resezione e nei casi di localizzazioni secondarie sospette alla TAC e non dirimenti con altre indagini strumentali. In caso di sospetto o certezza di neoplasia colon-rettale metastatica, dovranno essere avviate contestualmente all’esame istologico o durante la stadiazione le indagini molecolari (identificazione delle mutazioni di RAS e BRAF).</w:t>
      </w:r>
    </w:p>
    <w:p w:rsidR="001F2F65" w:rsidRPr="00FB30D2" w:rsidRDefault="00ED7B5A" w:rsidP="00FB30D2">
      <w:pPr>
        <w:tabs>
          <w:tab w:val="left" w:pos="1055"/>
        </w:tabs>
        <w:spacing w:line="360" w:lineRule="auto"/>
        <w:jc w:val="both"/>
        <w:rPr>
          <w:rFonts w:cs="Times New Roman"/>
          <w:color w:val="auto"/>
        </w:rPr>
      </w:pPr>
      <w:r w:rsidRPr="00FB30D2">
        <w:rPr>
          <w:rFonts w:cs="Times New Roman"/>
          <w:color w:val="auto"/>
        </w:rPr>
        <w:t xml:space="preserve">Le procedure stadiative dovranno essere completate entro 2 settimane dalla diagnosi di certezza istologica e, qualora una diagnosi di certezza istologica non fosse disponibile al momento della prima visita, entro 4 settimane dalla presa in carico del paziente (figura 3). </w:t>
      </w:r>
    </w:p>
    <w:p w:rsidR="001F2F65" w:rsidRPr="00FB30D2" w:rsidRDefault="00ED7B5A" w:rsidP="00FB30D2">
      <w:pPr>
        <w:tabs>
          <w:tab w:val="left" w:pos="1055"/>
        </w:tabs>
        <w:spacing w:line="360" w:lineRule="auto"/>
        <w:jc w:val="both"/>
        <w:rPr>
          <w:rFonts w:cs="Times New Roman"/>
          <w:color w:val="auto"/>
        </w:rPr>
      </w:pPr>
      <w:r w:rsidRPr="00FB30D2">
        <w:rPr>
          <w:rFonts w:cs="Times New Roman"/>
          <w:color w:val="auto"/>
        </w:rPr>
        <w:t>La valutazione del polimorfismo DPYD è obbligatorio per i pazienti candidati a terapia con fluoropirimidine come da indicazione AIFA.</w:t>
      </w:r>
    </w:p>
    <w:p w:rsidR="001F2F65" w:rsidRPr="00FB30D2" w:rsidRDefault="00ED7B5A" w:rsidP="00FB30D2">
      <w:pPr>
        <w:widowControl w:val="0"/>
        <w:tabs>
          <w:tab w:val="left" w:pos="1055"/>
        </w:tabs>
        <w:spacing w:line="360" w:lineRule="auto"/>
        <w:jc w:val="both"/>
        <w:rPr>
          <w:rFonts w:cs="Times New Roman"/>
          <w:color w:val="auto"/>
        </w:rPr>
      </w:pPr>
      <w:r w:rsidRPr="00FB30D2">
        <w:rPr>
          <w:rFonts w:cs="Times New Roman"/>
          <w:color w:val="auto"/>
        </w:rPr>
        <w:t xml:space="preserve">In tutti i casi in cui si sospetta un’ereditarietà il GOM dovrà valutare l’opportunità di un counseling oncogenetico. Allo stesso modo il GOM dovrà valutare l’opportunità di un counseling psicologico e della necessità di un supporto nutrizionistico mediante l’utilizzo di un sistema di screening dello stato di malnutrizione (MUST).  Nei pazienti in età fertile con necessità di trattamenti chemioterapici il GOM valuterà la necessità di un counseling di oncofertilità. </w:t>
      </w:r>
    </w:p>
    <w:p w:rsidR="005261A4" w:rsidRPr="00FB30D2" w:rsidRDefault="005261A4" w:rsidP="00FB30D2">
      <w:pPr>
        <w:widowControl w:val="0"/>
        <w:tabs>
          <w:tab w:val="left" w:pos="1055"/>
        </w:tabs>
        <w:spacing w:line="360" w:lineRule="auto"/>
        <w:jc w:val="both"/>
        <w:rPr>
          <w:rFonts w:cs="Times New Roman"/>
          <w:color w:val="auto"/>
        </w:rPr>
      </w:pPr>
    </w:p>
    <w:p w:rsidR="00E91614" w:rsidRPr="00FB30D2" w:rsidRDefault="00E91614" w:rsidP="00FB30D2">
      <w:pPr>
        <w:widowControl w:val="0"/>
        <w:tabs>
          <w:tab w:val="left" w:pos="1055"/>
        </w:tabs>
        <w:spacing w:line="360" w:lineRule="auto"/>
        <w:jc w:val="both"/>
        <w:rPr>
          <w:rFonts w:cs="Times New Roman"/>
          <w:color w:val="auto"/>
        </w:rPr>
      </w:pPr>
    </w:p>
    <w:p w:rsidR="001F2F65" w:rsidRPr="00FB30D2" w:rsidRDefault="00ED7B5A" w:rsidP="00FB30D2">
      <w:pPr>
        <w:spacing w:line="360" w:lineRule="auto"/>
        <w:jc w:val="both"/>
        <w:rPr>
          <w:rFonts w:cs="Times New Roman"/>
          <w:b/>
          <w:bCs/>
          <w:color w:val="auto"/>
        </w:rPr>
      </w:pPr>
      <w:r w:rsidRPr="00FB30D2">
        <w:rPr>
          <w:rFonts w:cs="Times New Roman"/>
          <w:b/>
          <w:bCs/>
          <w:color w:val="auto"/>
        </w:rPr>
        <w:t>Tabella 2: Esami diagnostici in appropriatezza per i PDTA colon-retto</w:t>
      </w:r>
    </w:p>
    <w:p w:rsidR="001F2F65" w:rsidRPr="00FB30D2" w:rsidRDefault="001F2F65" w:rsidP="00FB30D2">
      <w:pPr>
        <w:spacing w:line="360" w:lineRule="auto"/>
        <w:jc w:val="both"/>
        <w:rPr>
          <w:rFonts w:cs="Times New Roman"/>
          <w:b/>
          <w:bCs/>
          <w:color w:val="auto"/>
        </w:rPr>
      </w:pPr>
    </w:p>
    <w:tbl>
      <w:tblPr>
        <w:tblpPr w:leftFromText="141" w:rightFromText="141" w:vertAnchor="page" w:horzAnchor="margin" w:tblpY="3710"/>
        <w:tblW w:w="8075" w:type="dxa"/>
        <w:shd w:val="clear" w:color="auto" w:fill="FFFFFF"/>
        <w:tblCellMar>
          <w:top w:w="15" w:type="dxa"/>
          <w:left w:w="15" w:type="dxa"/>
          <w:bottom w:w="15" w:type="dxa"/>
          <w:right w:w="15" w:type="dxa"/>
        </w:tblCellMar>
        <w:tblLook w:val="04A0" w:firstRow="1" w:lastRow="0" w:firstColumn="1" w:lastColumn="0" w:noHBand="0" w:noVBand="1"/>
      </w:tblPr>
      <w:tblGrid>
        <w:gridCol w:w="8075"/>
      </w:tblGrid>
      <w:tr w:rsidR="005261A4" w:rsidRPr="00FB30D2" w:rsidTr="0081567F">
        <w:tc>
          <w:tcPr>
            <w:tcW w:w="8075" w:type="dxa"/>
            <w:tcBorders>
              <w:top w:val="single" w:sz="4"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 xml:space="preserve">Colonscopia completa </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Diagnostica per immagini</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TAC con mdc:</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 xml:space="preserve">Torace </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 xml:space="preserve">Addome e pelvi </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line="360" w:lineRule="auto"/>
              <w:jc w:val="both"/>
              <w:rPr>
                <w:rFonts w:cs="Times New Roman"/>
              </w:rPr>
            </w:pPr>
            <w:r w:rsidRPr="00FB30D2">
              <w:rPr>
                <w:rFonts w:eastAsia="Times New Roman" w:cs="Times New Roman"/>
                <w:color w:val="auto"/>
              </w:rPr>
              <w:t>RMN per i tumori del retto extraperitoneale (&lt;12 cm dal margine anale)</w:t>
            </w:r>
          </w:p>
          <w:p w:rsidR="005261A4" w:rsidRPr="00FB30D2" w:rsidRDefault="005261A4" w:rsidP="0081567F">
            <w:pPr>
              <w:spacing w:line="360" w:lineRule="auto"/>
              <w:jc w:val="both"/>
              <w:rPr>
                <w:rFonts w:cs="Times New Roman"/>
              </w:rPr>
            </w:pPr>
            <w:r w:rsidRPr="00FB30D2">
              <w:rPr>
                <w:rFonts w:eastAsia="Times New Roman" w:cs="Times New Roman"/>
                <w:color w:val="auto"/>
              </w:rPr>
              <w:t>Ecoendoscopia per i tumori del retto extraperitoneale (&lt;12 cm dal margine anale)</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 xml:space="preserve">Esami di laboratorio: </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 xml:space="preserve">Emocromo, coagulazione, parametri di funzionalità epatica e renale, albumina  </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CEA</w:t>
            </w:r>
          </w:p>
        </w:tc>
      </w:tr>
      <w:tr w:rsidR="005261A4" w:rsidRPr="00FB30D2" w:rsidTr="0081567F">
        <w:tc>
          <w:tcPr>
            <w:tcW w:w="8075" w:type="dxa"/>
            <w:tcBorders>
              <w:top w:val="single" w:sz="2" w:space="0" w:color="000000"/>
              <w:left w:val="single" w:sz="4" w:space="0" w:color="000000"/>
              <w:bottom w:val="single" w:sz="2" w:space="0" w:color="000000"/>
              <w:right w:val="single" w:sz="4" w:space="0" w:color="000000"/>
            </w:tcBorders>
            <w:shd w:val="clear" w:color="auto" w:fill="FFFFFF"/>
            <w:vAlign w:val="center"/>
          </w:tcPr>
          <w:p w:rsidR="005261A4" w:rsidRPr="00FB30D2" w:rsidRDefault="005261A4" w:rsidP="0081567F">
            <w:pPr>
              <w:spacing w:beforeAutospacing="1" w:line="360" w:lineRule="auto"/>
              <w:jc w:val="both"/>
              <w:rPr>
                <w:rFonts w:cs="Times New Roman"/>
              </w:rPr>
            </w:pPr>
            <w:r w:rsidRPr="00FB30D2">
              <w:rPr>
                <w:rFonts w:eastAsia="Times New Roman" w:cs="Times New Roman"/>
                <w:color w:val="auto"/>
              </w:rPr>
              <w:t xml:space="preserve">PET solo in pazienti con malattia localmente avanzata o metastasi candidate a resezione </w:t>
            </w:r>
          </w:p>
        </w:tc>
      </w:tr>
    </w:tbl>
    <w:p w:rsidR="001F2F65" w:rsidRPr="00FB30D2" w:rsidRDefault="001F2F65" w:rsidP="00FB30D2">
      <w:pPr>
        <w:spacing w:line="360" w:lineRule="auto"/>
        <w:jc w:val="both"/>
        <w:rPr>
          <w:rFonts w:cs="Times New Roman"/>
        </w:rPr>
      </w:pPr>
    </w:p>
    <w:p w:rsidR="002740EA" w:rsidRPr="00FB30D2" w:rsidRDefault="002740EA" w:rsidP="00FB30D2">
      <w:pPr>
        <w:spacing w:line="360" w:lineRule="auto"/>
        <w:jc w:val="both"/>
        <w:rPr>
          <w:rFonts w:cs="Times New Roman"/>
        </w:rPr>
      </w:pPr>
    </w:p>
    <w:p w:rsidR="002740EA" w:rsidRPr="00FB30D2" w:rsidRDefault="002740EA" w:rsidP="00FB30D2">
      <w:pPr>
        <w:spacing w:line="360" w:lineRule="auto"/>
        <w:jc w:val="both"/>
        <w:rPr>
          <w:rFonts w:cs="Times New Roman"/>
        </w:rPr>
      </w:pPr>
    </w:p>
    <w:p w:rsidR="001F2F65" w:rsidRPr="00FB30D2" w:rsidRDefault="001F2F65" w:rsidP="00FB30D2">
      <w:pPr>
        <w:spacing w:line="360" w:lineRule="auto"/>
        <w:jc w:val="both"/>
        <w:rPr>
          <w:rFonts w:cs="Times New Roman"/>
        </w:rPr>
      </w:pPr>
    </w:p>
    <w:p w:rsidR="001F2F65" w:rsidRPr="00FB30D2" w:rsidRDefault="001F2F65" w:rsidP="00FB30D2">
      <w:pPr>
        <w:spacing w:line="360" w:lineRule="auto"/>
        <w:jc w:val="both"/>
        <w:rPr>
          <w:rFonts w:cs="Times New Roman"/>
        </w:rPr>
      </w:pPr>
    </w:p>
    <w:p w:rsidR="001F2F65" w:rsidRPr="00FB30D2" w:rsidRDefault="001F2F65" w:rsidP="00FB30D2">
      <w:pPr>
        <w:spacing w:line="360" w:lineRule="auto"/>
        <w:jc w:val="both"/>
        <w:rPr>
          <w:rFonts w:cs="Times New Roman"/>
        </w:rPr>
      </w:pPr>
    </w:p>
    <w:p w:rsidR="005245BE" w:rsidRPr="00FB30D2" w:rsidRDefault="005245BE" w:rsidP="00FB30D2">
      <w:pPr>
        <w:spacing w:line="360" w:lineRule="auto"/>
        <w:jc w:val="both"/>
        <w:rPr>
          <w:rFonts w:cs="Times New Roman"/>
        </w:rPr>
      </w:pPr>
    </w:p>
    <w:p w:rsidR="005C71B0" w:rsidRPr="00FB30D2" w:rsidRDefault="005C71B0" w:rsidP="00FB30D2">
      <w:pPr>
        <w:spacing w:line="360" w:lineRule="auto"/>
        <w:jc w:val="both"/>
        <w:rPr>
          <w:rFonts w:cs="Times New Roman"/>
        </w:rPr>
      </w:pPr>
    </w:p>
    <w:p w:rsidR="005C71B0" w:rsidRPr="00FB30D2" w:rsidRDefault="005C71B0" w:rsidP="00FB30D2">
      <w:pPr>
        <w:spacing w:line="360" w:lineRule="auto"/>
        <w:jc w:val="both"/>
        <w:rPr>
          <w:rFonts w:cs="Times New Roman"/>
        </w:rPr>
      </w:pPr>
    </w:p>
    <w:p w:rsidR="00E91614" w:rsidRPr="00FB30D2" w:rsidRDefault="00E91614" w:rsidP="00FB30D2">
      <w:pPr>
        <w:spacing w:line="360" w:lineRule="auto"/>
        <w:jc w:val="both"/>
        <w:rPr>
          <w:rFonts w:cs="Times New Roman"/>
        </w:rPr>
      </w:pPr>
    </w:p>
    <w:p w:rsidR="00E91614" w:rsidRPr="00FB30D2" w:rsidRDefault="00E91614" w:rsidP="00FB30D2">
      <w:pPr>
        <w:spacing w:line="360" w:lineRule="auto"/>
        <w:jc w:val="both"/>
        <w:rPr>
          <w:rFonts w:cs="Times New Roman"/>
        </w:rPr>
      </w:pPr>
    </w:p>
    <w:p w:rsidR="005C71B0" w:rsidRPr="00FB30D2" w:rsidRDefault="005C71B0" w:rsidP="00FB30D2">
      <w:pPr>
        <w:spacing w:line="360" w:lineRule="auto"/>
        <w:jc w:val="both"/>
        <w:rPr>
          <w:rFonts w:cs="Times New Roman"/>
        </w:rPr>
      </w:pPr>
    </w:p>
    <w:p w:rsidR="00E91614" w:rsidRPr="00FB30D2" w:rsidRDefault="00E91614" w:rsidP="00FB30D2">
      <w:pPr>
        <w:spacing w:line="360" w:lineRule="auto"/>
        <w:jc w:val="both"/>
        <w:rPr>
          <w:rFonts w:cs="Times New Roman"/>
        </w:rPr>
      </w:pPr>
    </w:p>
    <w:p w:rsidR="005C71B0" w:rsidRPr="00FB30D2" w:rsidRDefault="005C71B0" w:rsidP="00FB30D2">
      <w:pPr>
        <w:spacing w:line="360" w:lineRule="auto"/>
        <w:jc w:val="both"/>
        <w:rPr>
          <w:rFonts w:cs="Times New Roman"/>
        </w:rPr>
      </w:pPr>
    </w:p>
    <w:p w:rsidR="00EA0217" w:rsidRPr="00FB30D2" w:rsidRDefault="00EA0217" w:rsidP="00FB30D2">
      <w:pPr>
        <w:spacing w:line="360" w:lineRule="auto"/>
        <w:jc w:val="both"/>
        <w:rPr>
          <w:rFonts w:cs="Times New Roman"/>
        </w:rPr>
      </w:pPr>
    </w:p>
    <w:p w:rsidR="005261A4" w:rsidRPr="00FB30D2" w:rsidRDefault="005261A4" w:rsidP="00FB30D2">
      <w:pPr>
        <w:spacing w:line="360" w:lineRule="auto"/>
        <w:jc w:val="both"/>
        <w:rPr>
          <w:rFonts w:cs="Times New Roman"/>
        </w:rPr>
      </w:pPr>
    </w:p>
    <w:p w:rsidR="00EA0217" w:rsidRDefault="00EA0217"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Default="0081567F" w:rsidP="00FB30D2">
      <w:pPr>
        <w:spacing w:line="360" w:lineRule="auto"/>
        <w:jc w:val="both"/>
        <w:rPr>
          <w:rFonts w:cs="Times New Roman"/>
        </w:rPr>
      </w:pPr>
    </w:p>
    <w:p w:rsidR="00E477CC" w:rsidRDefault="00E477CC" w:rsidP="00FB30D2">
      <w:pPr>
        <w:spacing w:line="360" w:lineRule="auto"/>
        <w:jc w:val="both"/>
        <w:rPr>
          <w:rFonts w:cs="Times New Roman"/>
        </w:rPr>
      </w:pPr>
    </w:p>
    <w:p w:rsidR="00E477CC" w:rsidRDefault="00E477CC" w:rsidP="00FB30D2">
      <w:pPr>
        <w:spacing w:line="360" w:lineRule="auto"/>
        <w:jc w:val="both"/>
        <w:rPr>
          <w:rFonts w:cs="Times New Roman"/>
        </w:rPr>
      </w:pPr>
    </w:p>
    <w:p w:rsidR="00E477CC" w:rsidRDefault="00E477CC" w:rsidP="00FB30D2">
      <w:pPr>
        <w:spacing w:line="360" w:lineRule="auto"/>
        <w:jc w:val="both"/>
        <w:rPr>
          <w:rFonts w:cs="Times New Roman"/>
        </w:rPr>
      </w:pPr>
    </w:p>
    <w:p w:rsidR="00E477CC" w:rsidRDefault="00E477CC" w:rsidP="00FB30D2">
      <w:pPr>
        <w:spacing w:line="360" w:lineRule="auto"/>
        <w:jc w:val="both"/>
        <w:rPr>
          <w:rFonts w:cs="Times New Roman"/>
        </w:rPr>
      </w:pPr>
    </w:p>
    <w:p w:rsidR="0081567F" w:rsidRDefault="0081567F" w:rsidP="00FB30D2">
      <w:pPr>
        <w:spacing w:line="360" w:lineRule="auto"/>
        <w:jc w:val="both"/>
        <w:rPr>
          <w:rFonts w:cs="Times New Roman"/>
        </w:rPr>
      </w:pPr>
    </w:p>
    <w:p w:rsidR="0081567F" w:rsidRPr="00FB30D2" w:rsidRDefault="0081567F" w:rsidP="00FB30D2">
      <w:pPr>
        <w:spacing w:line="360" w:lineRule="auto"/>
        <w:jc w:val="both"/>
        <w:rPr>
          <w:rFonts w:cs="Times New Roman"/>
        </w:rPr>
      </w:pPr>
    </w:p>
    <w:p w:rsidR="001F2F65" w:rsidRPr="00FB30D2" w:rsidRDefault="00ED7B5A" w:rsidP="00FB30D2">
      <w:pPr>
        <w:spacing w:line="360" w:lineRule="auto"/>
        <w:jc w:val="both"/>
        <w:rPr>
          <w:rFonts w:cs="Times New Roman"/>
          <w:b/>
          <w:bCs/>
          <w:color w:val="auto"/>
        </w:rPr>
      </w:pPr>
      <w:r w:rsidRPr="00FB30D2">
        <w:rPr>
          <w:rFonts w:cs="Times New Roman"/>
          <w:b/>
          <w:bCs/>
          <w:color w:val="auto"/>
        </w:rPr>
        <w:t>Figura.3 Percorso stadiativo/terapeutico per pazienti con neoplasia colon-rettale</w:t>
      </w:r>
    </w:p>
    <w:p w:rsidR="001F2F65" w:rsidRPr="00FB30D2" w:rsidRDefault="001F2F65" w:rsidP="00FB30D2">
      <w:pPr>
        <w:spacing w:line="360" w:lineRule="auto"/>
        <w:jc w:val="both"/>
        <w:rPr>
          <w:rFonts w:cs="Times New Roman"/>
          <w:b/>
          <w:bCs/>
          <w:color w:val="auto"/>
        </w:rPr>
      </w:pPr>
    </w:p>
    <w:p w:rsidR="001F2F65" w:rsidRPr="00FB30D2" w:rsidRDefault="00ED7B5A" w:rsidP="00FB30D2">
      <w:pPr>
        <w:spacing w:line="360" w:lineRule="auto"/>
        <w:jc w:val="both"/>
        <w:rPr>
          <w:rFonts w:cs="Times New Roman"/>
        </w:rPr>
      </w:pPr>
      <w:r w:rsidRPr="00FB30D2">
        <w:rPr>
          <w:rFonts w:cs="Times New Roman"/>
          <w:noProof/>
        </w:rPr>
        <w:drawing>
          <wp:inline distT="0" distB="0" distL="0" distR="0">
            <wp:extent cx="6005195" cy="3357880"/>
            <wp:effectExtent l="0" t="0" r="0" b="0"/>
            <wp:docPr id="159"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9"/>
                    <pic:cNvPicPr>
                      <a:picLocks noChangeAspect="1" noChangeArrowheads="1"/>
                    </pic:cNvPicPr>
                  </pic:nvPicPr>
                  <pic:blipFill>
                    <a:blip r:embed="rId14"/>
                    <a:stretch>
                      <a:fillRect/>
                    </a:stretch>
                  </pic:blipFill>
                  <pic:spPr bwMode="auto">
                    <a:xfrm>
                      <a:off x="0" y="0"/>
                      <a:ext cx="6005195" cy="3357880"/>
                    </a:xfrm>
                    <a:prstGeom prst="rect">
                      <a:avLst/>
                    </a:prstGeom>
                  </pic:spPr>
                </pic:pic>
              </a:graphicData>
            </a:graphic>
          </wp:inline>
        </w:drawing>
      </w:r>
    </w:p>
    <w:p w:rsidR="005C71B0" w:rsidRPr="00FB30D2" w:rsidRDefault="005C71B0" w:rsidP="00FB30D2">
      <w:pPr>
        <w:spacing w:line="360" w:lineRule="auto"/>
        <w:jc w:val="both"/>
        <w:rPr>
          <w:rFonts w:cs="Times New Roman"/>
          <w:color w:val="auto"/>
        </w:rPr>
      </w:pPr>
    </w:p>
    <w:p w:rsidR="005C71B0" w:rsidRPr="00FB30D2" w:rsidRDefault="005C71B0" w:rsidP="00FB30D2">
      <w:pPr>
        <w:spacing w:line="360" w:lineRule="auto"/>
        <w:jc w:val="both"/>
        <w:rPr>
          <w:rFonts w:cs="Times New Roman"/>
          <w:color w:val="auto"/>
        </w:rPr>
      </w:pPr>
    </w:p>
    <w:p w:rsidR="001F2F65" w:rsidRPr="00FB30D2" w:rsidRDefault="00ED7B5A" w:rsidP="00FB30D2">
      <w:pPr>
        <w:spacing w:line="360" w:lineRule="auto"/>
        <w:jc w:val="both"/>
        <w:rPr>
          <w:rFonts w:cs="Times New Roman"/>
          <w:color w:val="auto"/>
        </w:rPr>
      </w:pPr>
      <w:r w:rsidRPr="00FB30D2">
        <w:rPr>
          <w:rFonts w:cs="Times New Roman"/>
          <w:color w:val="auto"/>
        </w:rPr>
        <w:t xml:space="preserve">L’inquadramento con queste indagini permette di definire lo stadio di malattia, per lo meno in relazione o meno alla presenza delle metastasi a distanza, che andrà poi integrato con i dati ottenuti dal pezzo operatorio, in caso di candidabilità del paziente alla chirurgia. </w:t>
      </w:r>
    </w:p>
    <w:p w:rsidR="005245BE" w:rsidRPr="00FB30D2" w:rsidRDefault="005245BE" w:rsidP="00FB30D2">
      <w:pPr>
        <w:spacing w:line="360" w:lineRule="auto"/>
        <w:jc w:val="both"/>
        <w:rPr>
          <w:rFonts w:cs="Times New Roman"/>
          <w:color w:val="auto"/>
        </w:rPr>
      </w:pPr>
    </w:p>
    <w:p w:rsidR="001F2F65" w:rsidRPr="00FB30D2" w:rsidRDefault="00ED7B5A" w:rsidP="00FB30D2">
      <w:pPr>
        <w:pBdr>
          <w:top w:val="single" w:sz="4" w:space="0" w:color="000000"/>
          <w:left w:val="single" w:sz="4" w:space="0" w:color="000000"/>
          <w:bottom w:val="single" w:sz="4" w:space="0" w:color="000000"/>
          <w:right w:val="single" w:sz="4" w:space="0" w:color="000000"/>
        </w:pBdr>
        <w:spacing w:line="360" w:lineRule="auto"/>
        <w:jc w:val="both"/>
        <w:rPr>
          <w:rFonts w:cs="Times New Roman"/>
          <w:color w:val="auto"/>
        </w:rPr>
      </w:pPr>
      <w:r w:rsidRPr="00FB30D2">
        <w:rPr>
          <w:rFonts w:cs="Times New Roman"/>
          <w:b/>
          <w:bCs/>
          <w:color w:val="auto"/>
        </w:rPr>
        <w:t>Stadiazione</w:t>
      </w:r>
      <w:r w:rsidRPr="00FB30D2">
        <w:rPr>
          <w:rFonts w:cs="Times New Roman"/>
          <w:color w:val="auto"/>
        </w:rPr>
        <w:t xml:space="preserve"> </w:t>
      </w:r>
      <w:r w:rsidRPr="00FB30D2">
        <w:rPr>
          <w:rFonts w:cs="Times New Roman"/>
          <w:b/>
          <w:bCs/>
          <w:color w:val="auto"/>
        </w:rPr>
        <w:t>(secondo il sistema TNM)</w:t>
      </w:r>
    </w:p>
    <w:p w:rsidR="001F2F65" w:rsidRPr="00FB30D2" w:rsidRDefault="00ED7B5A" w:rsidP="00FB30D2">
      <w:pPr>
        <w:pBdr>
          <w:top w:val="single" w:sz="4" w:space="0" w:color="000000"/>
          <w:left w:val="single" w:sz="4" w:space="0" w:color="000000"/>
          <w:bottom w:val="single" w:sz="4" w:space="0" w:color="000000"/>
          <w:right w:val="single" w:sz="4" w:space="0" w:color="000000"/>
        </w:pBdr>
        <w:spacing w:line="360" w:lineRule="auto"/>
        <w:jc w:val="both"/>
        <w:rPr>
          <w:rFonts w:cs="Times New Roman"/>
          <w:color w:val="auto"/>
        </w:rPr>
      </w:pPr>
      <w:r w:rsidRPr="00FB30D2">
        <w:rPr>
          <w:rFonts w:cs="Times New Roman"/>
          <w:b/>
          <w:bCs/>
          <w:color w:val="auto"/>
        </w:rPr>
        <w:t>Stadio I</w:t>
      </w:r>
      <w:r w:rsidRPr="00FB30D2">
        <w:rPr>
          <w:rFonts w:cs="Times New Roman"/>
          <w:color w:val="auto"/>
        </w:rPr>
        <w:t>: tumori che invadono la sottomucosa (T1) o la muscolare propria (T2), senza</w:t>
      </w:r>
    </w:p>
    <w:p w:rsidR="001F2F65" w:rsidRPr="00FB30D2" w:rsidRDefault="00ED7B5A" w:rsidP="00FB30D2">
      <w:pPr>
        <w:pBdr>
          <w:top w:val="single" w:sz="4" w:space="0" w:color="000000"/>
          <w:left w:val="single" w:sz="4" w:space="0" w:color="000000"/>
          <w:bottom w:val="single" w:sz="4" w:space="0" w:color="000000"/>
          <w:right w:val="single" w:sz="4" w:space="0" w:color="000000"/>
        </w:pBdr>
        <w:spacing w:line="360" w:lineRule="auto"/>
        <w:jc w:val="both"/>
        <w:rPr>
          <w:rFonts w:cs="Times New Roman"/>
          <w:color w:val="auto"/>
        </w:rPr>
      </w:pPr>
      <w:r w:rsidRPr="00FB30D2">
        <w:rPr>
          <w:rFonts w:cs="Times New Roman"/>
          <w:color w:val="auto"/>
        </w:rPr>
        <w:t>Interessamento dei linfonodi loco-regionali ed in assenza di localizzazioni a distanza;</w:t>
      </w:r>
    </w:p>
    <w:p w:rsidR="001F2F65" w:rsidRPr="00FB30D2" w:rsidRDefault="00ED7B5A" w:rsidP="00FB30D2">
      <w:pPr>
        <w:pBdr>
          <w:top w:val="single" w:sz="4" w:space="0" w:color="000000"/>
          <w:left w:val="single" w:sz="4" w:space="0" w:color="000000"/>
          <w:bottom w:val="single" w:sz="4" w:space="0" w:color="000000"/>
          <w:right w:val="single" w:sz="4" w:space="0" w:color="000000"/>
        </w:pBdr>
        <w:spacing w:line="360" w:lineRule="auto"/>
        <w:jc w:val="both"/>
        <w:rPr>
          <w:rFonts w:cs="Times New Roman"/>
          <w:color w:val="auto"/>
        </w:rPr>
      </w:pPr>
      <w:r w:rsidRPr="00FB30D2">
        <w:rPr>
          <w:rFonts w:cs="Times New Roman"/>
          <w:b/>
          <w:bCs/>
          <w:color w:val="auto"/>
        </w:rPr>
        <w:t>*Stadio II</w:t>
      </w:r>
      <w:r w:rsidRPr="00FB30D2">
        <w:rPr>
          <w:rFonts w:cs="Times New Roman"/>
          <w:color w:val="auto"/>
        </w:rPr>
        <w:t>: tumori che invadono la sottosierosa o i tessuti pericolici (T3) oppure che invadono direttamente altri organi o strutture e/o perforano direttamente il peritoneo viscerale (T4), senza interessamento dei linfonodi loco-regionali ed in assenza di localizzazioni a distanza;</w:t>
      </w:r>
    </w:p>
    <w:p w:rsidR="001F2F65" w:rsidRPr="00FB30D2" w:rsidRDefault="00ED7B5A" w:rsidP="00FB30D2">
      <w:pPr>
        <w:pBdr>
          <w:top w:val="single" w:sz="4" w:space="0" w:color="000000"/>
          <w:left w:val="single" w:sz="4" w:space="0" w:color="000000"/>
          <w:bottom w:val="single" w:sz="4" w:space="0" w:color="000000"/>
          <w:right w:val="single" w:sz="4" w:space="0" w:color="000000"/>
        </w:pBdr>
        <w:spacing w:line="360" w:lineRule="auto"/>
        <w:jc w:val="both"/>
        <w:rPr>
          <w:rFonts w:cs="Times New Roman"/>
          <w:color w:val="auto"/>
        </w:rPr>
      </w:pPr>
      <w:r w:rsidRPr="00FB30D2">
        <w:rPr>
          <w:rFonts w:cs="Times New Roman"/>
          <w:b/>
          <w:bCs/>
          <w:color w:val="auto"/>
        </w:rPr>
        <w:t>*Stadio III</w:t>
      </w:r>
      <w:r w:rsidRPr="00FB30D2">
        <w:rPr>
          <w:rFonts w:cs="Times New Roman"/>
          <w:color w:val="auto"/>
        </w:rPr>
        <w:t>: tumori con qualsiasi T e metastasi nei linfonodi loco-regionali (ogni T, N1-2), in assenza di localizzazioni a distanza;</w:t>
      </w:r>
    </w:p>
    <w:p w:rsidR="001F2F65" w:rsidRPr="00FB30D2" w:rsidRDefault="00ED7B5A" w:rsidP="00FB30D2">
      <w:pPr>
        <w:pBdr>
          <w:top w:val="single" w:sz="4" w:space="0" w:color="000000"/>
          <w:left w:val="single" w:sz="4" w:space="0" w:color="000000"/>
          <w:bottom w:val="single" w:sz="4" w:space="0" w:color="000000"/>
          <w:right w:val="single" w:sz="4" w:space="0" w:color="000000"/>
        </w:pBdr>
        <w:spacing w:line="360" w:lineRule="auto"/>
        <w:jc w:val="both"/>
        <w:rPr>
          <w:rFonts w:cs="Times New Roman"/>
          <w:color w:val="auto"/>
        </w:rPr>
      </w:pPr>
      <w:r w:rsidRPr="00FB30D2">
        <w:rPr>
          <w:rFonts w:cs="Times New Roman"/>
          <w:b/>
          <w:bCs/>
          <w:color w:val="auto"/>
        </w:rPr>
        <w:t>Stadio IV</w:t>
      </w:r>
      <w:r w:rsidRPr="00FB30D2">
        <w:rPr>
          <w:rFonts w:cs="Times New Roman"/>
          <w:color w:val="auto"/>
        </w:rPr>
        <w:t>: tumori con qualsiasi T, qualsiasi N e metastasi a distanza, confinate ad un organo (M1a) o in più organi (M1b).</w:t>
      </w:r>
    </w:p>
    <w:p w:rsidR="001F2F65" w:rsidRPr="00FB30D2" w:rsidRDefault="00ED7B5A" w:rsidP="00FB30D2">
      <w:pPr>
        <w:pBdr>
          <w:top w:val="single" w:sz="4" w:space="0" w:color="000000"/>
          <w:left w:val="single" w:sz="4" w:space="0" w:color="000000"/>
          <w:bottom w:val="single" w:sz="4" w:space="0" w:color="000000"/>
          <w:right w:val="single" w:sz="4" w:space="0" w:color="000000"/>
        </w:pBdr>
        <w:spacing w:line="360" w:lineRule="auto"/>
        <w:jc w:val="both"/>
        <w:rPr>
          <w:rFonts w:cs="Times New Roman"/>
          <w:color w:val="auto"/>
        </w:rPr>
      </w:pPr>
      <w:r w:rsidRPr="00FB30D2">
        <w:rPr>
          <w:rFonts w:cs="Times New Roman"/>
          <w:b/>
          <w:bCs/>
          <w:color w:val="auto"/>
        </w:rPr>
        <w:t>*</w:t>
      </w:r>
      <w:r w:rsidRPr="00FB30D2">
        <w:rPr>
          <w:rFonts w:cs="Times New Roman"/>
          <w:color w:val="auto"/>
        </w:rPr>
        <w:t xml:space="preserve">Negli stadi II e III delle neoplasie del retto extraperitoneale è importante definire anche il margine circonferenziale (MCR ≤ </w:t>
      </w:r>
      <w:r w:rsidR="002740EA" w:rsidRPr="00FB30D2">
        <w:rPr>
          <w:rFonts w:cs="Times New Roman"/>
          <w:color w:val="auto"/>
        </w:rPr>
        <w:t>oppure &gt;</w:t>
      </w:r>
      <w:r w:rsidRPr="00FB30D2">
        <w:rPr>
          <w:rFonts w:cs="Times New Roman"/>
          <w:color w:val="auto"/>
        </w:rPr>
        <w:t xml:space="preserve"> 1 </w:t>
      </w:r>
      <w:r w:rsidR="002740EA" w:rsidRPr="00FB30D2">
        <w:rPr>
          <w:rFonts w:cs="Times New Roman"/>
          <w:color w:val="auto"/>
        </w:rPr>
        <w:t>mm)</w:t>
      </w:r>
    </w:p>
    <w:p w:rsidR="001F2F65" w:rsidRPr="00FB30D2" w:rsidRDefault="001F2F65" w:rsidP="00FB30D2">
      <w:pPr>
        <w:spacing w:line="360" w:lineRule="auto"/>
        <w:jc w:val="both"/>
        <w:rPr>
          <w:rFonts w:cs="Times New Roman"/>
          <w:color w:val="auto"/>
        </w:rPr>
      </w:pPr>
    </w:p>
    <w:p w:rsidR="001F2F65" w:rsidRPr="00FB30D2" w:rsidRDefault="00ED7B5A" w:rsidP="00FB30D2">
      <w:pPr>
        <w:spacing w:line="360" w:lineRule="auto"/>
        <w:jc w:val="both"/>
        <w:rPr>
          <w:rFonts w:cs="Times New Roman"/>
          <w:color w:val="auto"/>
        </w:rPr>
      </w:pPr>
      <w:r w:rsidRPr="00FB30D2">
        <w:rPr>
          <w:rFonts w:cs="Times New Roman"/>
          <w:color w:val="auto"/>
        </w:rPr>
        <w:t>Come stabilito dal DCA 100/2019 della Regione Campania ogni caso andrà valutato in immunoistochimica per instabilità dei microsatelliti come modalità di screeing per i tumori ereditari del colon.</w:t>
      </w:r>
    </w:p>
    <w:p w:rsidR="001F2F65" w:rsidRPr="00FB30D2" w:rsidRDefault="00ED7B5A" w:rsidP="00FB30D2">
      <w:pPr>
        <w:spacing w:line="360" w:lineRule="auto"/>
        <w:jc w:val="both"/>
        <w:rPr>
          <w:rFonts w:cs="Times New Roman"/>
          <w:color w:val="auto"/>
        </w:rPr>
      </w:pPr>
      <w:r w:rsidRPr="00FB30D2">
        <w:rPr>
          <w:rFonts w:cs="Times New Roman"/>
          <w:color w:val="auto"/>
        </w:rPr>
        <w:t xml:space="preserve">In base alla stadiazione clinica e/o patologica, verrà definito dal GOM il piano di trattamento per il singolo paziente. </w:t>
      </w:r>
    </w:p>
    <w:p w:rsidR="001F2F65" w:rsidRPr="00FB30D2" w:rsidRDefault="001F2F65" w:rsidP="00FB30D2">
      <w:pPr>
        <w:spacing w:line="360" w:lineRule="auto"/>
        <w:jc w:val="both"/>
        <w:rPr>
          <w:rFonts w:eastAsia="Arial" w:cs="Times New Roman"/>
          <w:color w:val="auto"/>
        </w:rPr>
      </w:pPr>
    </w:p>
    <w:p w:rsidR="001F2F65" w:rsidRPr="00FB30D2" w:rsidRDefault="00ED7B5A" w:rsidP="00FB30D2">
      <w:pPr>
        <w:spacing w:line="360" w:lineRule="auto"/>
        <w:jc w:val="both"/>
        <w:rPr>
          <w:rFonts w:cs="Times New Roman"/>
          <w:b/>
          <w:bCs/>
          <w:color w:val="auto"/>
        </w:rPr>
      </w:pPr>
      <w:r w:rsidRPr="00FB30D2">
        <w:rPr>
          <w:rFonts w:cs="Times New Roman"/>
          <w:b/>
          <w:bCs/>
          <w:color w:val="auto"/>
        </w:rPr>
        <w:t>Stadi di malattia limitata (stadio I, II, III)</w:t>
      </w:r>
    </w:p>
    <w:p w:rsidR="001F2F65" w:rsidRPr="00FB30D2" w:rsidRDefault="00ED7B5A" w:rsidP="00FB30D2">
      <w:pPr>
        <w:spacing w:line="360" w:lineRule="auto"/>
        <w:jc w:val="both"/>
        <w:rPr>
          <w:rFonts w:cs="Times New Roman"/>
          <w:color w:val="auto"/>
        </w:rPr>
      </w:pPr>
      <w:r w:rsidRPr="00FB30D2">
        <w:rPr>
          <w:rFonts w:cs="Times New Roman"/>
          <w:color w:val="auto"/>
        </w:rPr>
        <w:t xml:space="preserve">Per quanto riguarda le neoplasie del colon, il trattamento è solitamente chirurgico, se non vi sono problematiche cliniche (comorbidità, età del paziente) che ne limitino la fattibilità. Le tecniche chirurgiche per il carcinoma del colon prevedono la colectomia segmentaria in base alla sede della neoplasia: tale procedura, da effettuare, in assenza di controindicazioni, con approccio laparoscopico, deve prevedere la rimozione in blocco del o dei peduncoli vascolari con resezione ampia della parte interessata di intestino assicurando l’integrità del mesocolon ed una adeguata linfectomia. Le opzioni chirurgiche per il trattamento del cancro rettale includono invece la resezione anteriore con exeresi parziale o totale del mesoretto a seconda della sede del tumore, la resezione addomino-perineale, la escissione locale mediante exeresi transanale tradizionale o con microchirurgia/videoassistita (in casi ben selezionati con basso rischio di metastasi linfonodali mesorettali e/o sincrone). L'approccio miniinvasivo (laparoscopico o robotico) è opzionale ma auspicabile soprattutto deve essere utilizzato in centri ad alto volume e con provata esperienza di chirurgia mini invasiva. Nel percorso preparatorio alla chirurgia è opportuno inserire il paziente in protocolli di riabilitazione perioperatoria (ERAS) che permettono una significativa riduzione delle complicanze chirurgiche.  </w:t>
      </w:r>
    </w:p>
    <w:p w:rsidR="00CA1DE6" w:rsidRPr="00FB30D2" w:rsidRDefault="00CA1DE6" w:rsidP="00FB30D2">
      <w:pPr>
        <w:spacing w:line="360" w:lineRule="auto"/>
        <w:jc w:val="both"/>
        <w:rPr>
          <w:rFonts w:cs="Times New Roman"/>
          <w:color w:val="auto"/>
        </w:rPr>
      </w:pPr>
      <w:r w:rsidRPr="00FB30D2">
        <w:rPr>
          <w:rFonts w:cs="Times New Roman"/>
          <w:color w:val="auto"/>
        </w:rPr>
        <w:t xml:space="preserve">Nei casi in cui si è dovuto ricorrere ad una stomia è importante la figura dell'infermiere stoma </w:t>
      </w:r>
      <w:r w:rsidR="00FB30D2" w:rsidRPr="00FB30D2">
        <w:rPr>
          <w:rFonts w:cs="Times New Roman"/>
          <w:color w:val="auto"/>
        </w:rPr>
        <w:t>terapista; il</w:t>
      </w:r>
      <w:r w:rsidRPr="00FB30D2">
        <w:rPr>
          <w:rFonts w:cs="Times New Roman"/>
          <w:color w:val="auto"/>
        </w:rPr>
        <w:t xml:space="preserve"> professionista che, seguendo tutte le fasi del nursing, si occupa della persona portatrice di stomia, attraverso specifici interventi di prevenzione, cura, riabilitazione ed educazione.</w:t>
      </w:r>
      <w:r w:rsidR="002B7B63" w:rsidRPr="00FB30D2">
        <w:rPr>
          <w:rFonts w:cs="Times New Roman"/>
          <w:color w:val="auto"/>
        </w:rPr>
        <w:t xml:space="preserve"> </w:t>
      </w:r>
      <w:r w:rsidR="00FB30D2" w:rsidRPr="00FB30D2">
        <w:rPr>
          <w:rFonts w:cs="Times New Roman"/>
          <w:color w:val="auto"/>
        </w:rPr>
        <w:t>È</w:t>
      </w:r>
      <w:r w:rsidR="002B7B63" w:rsidRPr="00FB30D2">
        <w:rPr>
          <w:rFonts w:cs="Times New Roman"/>
          <w:color w:val="auto"/>
        </w:rPr>
        <w:t xml:space="preserve"> fondamentale anche il contributo dello psico-oncologo.</w:t>
      </w:r>
    </w:p>
    <w:p w:rsidR="001F2F65" w:rsidRPr="00FB30D2" w:rsidRDefault="00ED7B5A" w:rsidP="00FB30D2">
      <w:pPr>
        <w:spacing w:line="360" w:lineRule="auto"/>
        <w:jc w:val="both"/>
        <w:rPr>
          <w:rFonts w:cs="Times New Roman"/>
          <w:color w:val="auto"/>
        </w:rPr>
      </w:pPr>
      <w:r w:rsidRPr="00FB30D2">
        <w:rPr>
          <w:rFonts w:cs="Times New Roman"/>
          <w:color w:val="auto"/>
        </w:rPr>
        <w:t>Dopo la chirurgia, il paziente verrà sottoposto ad una nuova visita oncologica per decidere il proseguo terapeutico sulla base della diagnosi istopatologica (pTNM):</w:t>
      </w:r>
    </w:p>
    <w:p w:rsidR="001F2F65" w:rsidRPr="00FB30D2" w:rsidRDefault="00ED7B5A" w:rsidP="00FB30D2">
      <w:pPr>
        <w:spacing w:line="360" w:lineRule="auto"/>
        <w:jc w:val="both"/>
        <w:rPr>
          <w:rFonts w:cs="Times New Roman"/>
          <w:color w:val="auto"/>
        </w:rPr>
      </w:pPr>
      <w:r w:rsidRPr="00FB30D2">
        <w:rPr>
          <w:rFonts w:cs="Times New Roman"/>
          <w:color w:val="auto"/>
        </w:rPr>
        <w:t>- nei tumori del colon in stadio I e II di malattia senza fattori di rischio, il paziente proseguirà soltanto con visite di follow up figura 4;</w:t>
      </w:r>
    </w:p>
    <w:p w:rsidR="001F2F65" w:rsidRPr="00FB30D2" w:rsidRDefault="00ED7B5A" w:rsidP="00FB30D2">
      <w:pPr>
        <w:spacing w:line="360" w:lineRule="auto"/>
        <w:jc w:val="both"/>
        <w:rPr>
          <w:rFonts w:cs="Times New Roman"/>
          <w:color w:val="auto"/>
        </w:rPr>
      </w:pPr>
      <w:r w:rsidRPr="00FB30D2">
        <w:rPr>
          <w:rFonts w:cs="Times New Roman"/>
          <w:color w:val="auto"/>
        </w:rPr>
        <w:t>- nei tumori del colon in stadio II con almeno un fattore di rischio (T4, grading G3, invasione ascolare e/o perineurale, meno di 12 linfonodi asportati, esordio clinico con occlusione/perforazione) e stadio III, il paziente è candidato a ricevere un trattamento postoperatorio precauzionale (chemioterapia adiuvante) al fine di ridurre il rischio di recidiva della malattia, figura 4.</w:t>
      </w:r>
    </w:p>
    <w:p w:rsidR="001F2F65" w:rsidRPr="00FB30D2" w:rsidRDefault="00ED7B5A" w:rsidP="00FB30D2">
      <w:pPr>
        <w:spacing w:line="360" w:lineRule="auto"/>
        <w:jc w:val="both"/>
        <w:rPr>
          <w:rFonts w:cs="Times New Roman"/>
          <w:color w:val="auto"/>
        </w:rPr>
      </w:pPr>
      <w:r w:rsidRPr="00FB30D2">
        <w:rPr>
          <w:rFonts w:cs="Times New Roman"/>
          <w:color w:val="auto"/>
        </w:rPr>
        <w:t>Il trattamento standard prevede l’utilizzo di fluoro-pirimidine (capecitabina o 5-fluorouracile) in associazione ad oxaliplatino, da intraprendere dopo 4 e sino ad un massimo di 8 settimane dopo la chirurgia, per una durata complessiva di circa 3-6 mesi, secondo i seguenti schemi:</w:t>
      </w:r>
    </w:p>
    <w:p w:rsidR="001F2F65" w:rsidRPr="00FB30D2" w:rsidRDefault="00ED7B5A" w:rsidP="00FB30D2">
      <w:pPr>
        <w:spacing w:line="360" w:lineRule="auto"/>
        <w:jc w:val="both"/>
        <w:rPr>
          <w:rFonts w:cs="Times New Roman"/>
          <w:color w:val="auto"/>
        </w:rPr>
      </w:pPr>
      <w:r w:rsidRPr="00FB30D2">
        <w:rPr>
          <w:rFonts w:cs="Times New Roman"/>
          <w:color w:val="auto"/>
        </w:rPr>
        <w:t>- XELOX, oxaliplatino ev 130 mg/m2 giorno 1 e capecitabina per os 2000 mg/m2 bid per 14 giorni, ogni 21 giorni, per 8 cicli, con la possibilità di somministrare 4 cicli (3 mesi di trattamento) di XELOX nei pazienti in III stadio definiti a basso di recidiva (pT1-3N1).</w:t>
      </w:r>
    </w:p>
    <w:p w:rsidR="001F2F65" w:rsidRPr="00FB30D2" w:rsidRDefault="00ED7B5A" w:rsidP="00FB30D2">
      <w:pPr>
        <w:spacing w:line="360" w:lineRule="auto"/>
        <w:jc w:val="both"/>
        <w:rPr>
          <w:rFonts w:cs="Times New Roman"/>
          <w:color w:val="auto"/>
        </w:rPr>
      </w:pPr>
      <w:r w:rsidRPr="00FB30D2">
        <w:rPr>
          <w:rFonts w:cs="Times New Roman"/>
          <w:color w:val="auto"/>
        </w:rPr>
        <w:t>- FOLFOX6 modificato, oxaliplatino ev 85 mg/m2 giorno 1, Acido folico 200 mg/m2 giorno 1, 5fluorouracile (5FU) bolo ev 400 mg/m2 giorno 1 e 5FU 2400 mg/m2 in infusione continua (ic) per 46 ore, ogni 14 giorni, per 12 cicli, in particolare nei casi in cui vi siano condizioni cliniche che non consentano la somministrazione di una terapia orale.</w:t>
      </w:r>
    </w:p>
    <w:p w:rsidR="001F2F65" w:rsidRPr="00FB30D2" w:rsidRDefault="00ED7B5A" w:rsidP="00FB30D2">
      <w:pPr>
        <w:spacing w:line="360" w:lineRule="auto"/>
        <w:jc w:val="both"/>
        <w:rPr>
          <w:rFonts w:cs="Times New Roman"/>
          <w:color w:val="auto"/>
        </w:rPr>
      </w:pPr>
      <w:r w:rsidRPr="00FB30D2">
        <w:rPr>
          <w:rFonts w:cs="Times New Roman"/>
          <w:color w:val="auto"/>
        </w:rPr>
        <w:t xml:space="preserve">Nei pazienti in cui non si ritenga indicata una terapia di associazione, in particolare nei pazienti anziani può essere intrapreso un trattamento adiuvante con l’utilizzo soltanto delle fluoropirimidine secondo gli schemi: </w:t>
      </w:r>
    </w:p>
    <w:p w:rsidR="001F2F65" w:rsidRPr="00FB30D2" w:rsidRDefault="00ED7B5A" w:rsidP="00FB30D2">
      <w:pPr>
        <w:spacing w:line="360" w:lineRule="auto"/>
        <w:jc w:val="both"/>
        <w:rPr>
          <w:rFonts w:cs="Times New Roman"/>
          <w:color w:val="auto"/>
        </w:rPr>
      </w:pPr>
      <w:r w:rsidRPr="00FB30D2">
        <w:rPr>
          <w:rFonts w:cs="Times New Roman"/>
          <w:color w:val="auto"/>
        </w:rPr>
        <w:t>- capecitabina in monoterapia, 2500 mg/m2 bid per 14 giorni ogni 21per 8 cicli</w:t>
      </w:r>
    </w:p>
    <w:p w:rsidR="001F2F65" w:rsidRPr="00FB30D2" w:rsidRDefault="00ED7B5A" w:rsidP="00FB30D2">
      <w:pPr>
        <w:spacing w:line="360" w:lineRule="auto"/>
        <w:jc w:val="both"/>
        <w:rPr>
          <w:rFonts w:cs="Times New Roman"/>
          <w:color w:val="auto"/>
        </w:rPr>
      </w:pPr>
      <w:r w:rsidRPr="00FB30D2">
        <w:rPr>
          <w:rFonts w:cs="Times New Roman"/>
          <w:color w:val="auto"/>
        </w:rPr>
        <w:t>FUFA 5fluorouracile (5FU) bolo ev 400 mg/m2 giorno 1 e 5FU 2400 mg/m2 in infusione continua (ic) per 46 ore, ogni 14 giorni, per 12 cicli.</w:t>
      </w:r>
    </w:p>
    <w:p w:rsidR="001F2F65" w:rsidRPr="00FB30D2" w:rsidRDefault="00ED7B5A" w:rsidP="00FB30D2">
      <w:pPr>
        <w:spacing w:line="360" w:lineRule="auto"/>
        <w:jc w:val="both"/>
        <w:rPr>
          <w:rFonts w:cs="Times New Roman"/>
          <w:color w:val="auto"/>
        </w:rPr>
      </w:pPr>
      <w:r w:rsidRPr="00FB30D2">
        <w:rPr>
          <w:rFonts w:cs="Times New Roman"/>
          <w:color w:val="auto"/>
        </w:rPr>
        <w:t>In considerazione della pari efficacia, della minore incidenza di neutropenia febbrile e della maggiore convenienza (minor numero di accessi in DH e assenza di necessità di posizionare un catetere venoso centrale), lo schema di scelta è rappresentato da XELOX e capecitabina in monoterapia.</w:t>
      </w:r>
    </w:p>
    <w:p w:rsidR="001F2F65" w:rsidRPr="00FB30D2" w:rsidRDefault="00ED7B5A" w:rsidP="00FB30D2">
      <w:pPr>
        <w:spacing w:line="360" w:lineRule="auto"/>
        <w:jc w:val="both"/>
        <w:rPr>
          <w:rFonts w:cs="Times New Roman"/>
          <w:color w:val="auto"/>
        </w:rPr>
      </w:pPr>
      <w:r w:rsidRPr="00FB30D2">
        <w:rPr>
          <w:rFonts w:cs="Times New Roman"/>
          <w:color w:val="auto"/>
        </w:rPr>
        <w:t>Indipendentemente dal tipo di schedula adottata, il giorno 1 di ciascun ciclo è prevista una visita ambulatoriale di controllo, valutazione clinica con registrazione degli eventi avversi ed esame obiettivo.</w:t>
      </w:r>
    </w:p>
    <w:p w:rsidR="001F2F65" w:rsidRPr="00FB30D2" w:rsidRDefault="00ED7B5A" w:rsidP="00FB30D2">
      <w:pPr>
        <w:spacing w:line="360" w:lineRule="auto"/>
        <w:jc w:val="both"/>
        <w:rPr>
          <w:rFonts w:cs="Times New Roman"/>
          <w:color w:val="auto"/>
        </w:rPr>
      </w:pPr>
      <w:r w:rsidRPr="00FB30D2">
        <w:rPr>
          <w:rFonts w:cs="Times New Roman"/>
          <w:color w:val="auto"/>
        </w:rPr>
        <w:t xml:space="preserve">Per le neoplasie del retto intraperitoneale, l’approccio terapeutico non si differenzia sostanzialmente da quello dei tumori del resto del colon. Va precisato che nelle neoplasie del retto e del sigma intraperitoneali con linfonodi positivi o “marginalmente operabili” può essere valutato l’utilizzo della RT o CT-RT neoadiuvante. </w:t>
      </w:r>
    </w:p>
    <w:p w:rsidR="001F2F65" w:rsidRPr="00FB30D2" w:rsidRDefault="00ED7B5A" w:rsidP="00FB30D2">
      <w:pPr>
        <w:spacing w:line="360" w:lineRule="auto"/>
        <w:jc w:val="both"/>
        <w:rPr>
          <w:rFonts w:cs="Times New Roman"/>
          <w:color w:val="auto"/>
        </w:rPr>
      </w:pPr>
      <w:r w:rsidRPr="00FB30D2">
        <w:rPr>
          <w:rFonts w:cs="Times New Roman"/>
          <w:color w:val="auto"/>
        </w:rPr>
        <w:t xml:space="preserve">Per quanto riguarda invece le neoplasie del retto extraperitoneale, negli stadi molto precoci (stadio I) o avanzati (stadio IV) le opzioni terapeutiche non si differenziano sostanzialmente da quelle del tumore del colon mentre, per quanto riguarda i tumori localmente avanzati ovvero gli stadi II e III alla stadiazione clinica, il trattamento da considerarsi standard è rappresentato dalla sola radioterapia  o dal trattamento combinato chemio-radioterapico preoperatorio (neoadiuvante), figura 4. </w:t>
      </w:r>
    </w:p>
    <w:p w:rsidR="001F2F65" w:rsidRPr="00FB30D2" w:rsidRDefault="00ED7B5A" w:rsidP="00FB30D2">
      <w:pPr>
        <w:spacing w:line="360" w:lineRule="auto"/>
        <w:jc w:val="both"/>
        <w:rPr>
          <w:rFonts w:cs="Times New Roman"/>
          <w:color w:val="auto"/>
        </w:rPr>
      </w:pPr>
      <w:r w:rsidRPr="00FB30D2">
        <w:rPr>
          <w:rFonts w:cs="Times New Roman"/>
          <w:color w:val="auto"/>
        </w:rPr>
        <w:t>Le indicazioni al trattamento neoadiuvante sono le seguenti:</w:t>
      </w:r>
    </w:p>
    <w:p w:rsidR="001F2F65" w:rsidRPr="00FB30D2" w:rsidRDefault="00ED7B5A" w:rsidP="00FB30D2">
      <w:pPr>
        <w:spacing w:line="360" w:lineRule="auto"/>
        <w:rPr>
          <w:rFonts w:eastAsia="Times New Roman" w:cs="Times New Roman"/>
          <w:color w:val="auto"/>
        </w:rPr>
      </w:pPr>
      <w:r w:rsidRPr="00FB30D2">
        <w:rPr>
          <w:rFonts w:eastAsia="Times New Roman" w:cs="Times New Roman"/>
          <w:b/>
          <w:bCs/>
          <w:color w:val="auto"/>
        </w:rPr>
        <w:t>- cT2N0 retto basso</w:t>
      </w:r>
      <w:r w:rsidRPr="00FB30D2">
        <w:rPr>
          <w:rFonts w:eastAsia="Times New Roman" w:cs="Times New Roman"/>
          <w:color w:val="auto"/>
        </w:rPr>
        <w:t>, altrimenti destinato ad amputazione addomino perineale.</w:t>
      </w:r>
    </w:p>
    <w:p w:rsidR="001F2F65" w:rsidRPr="00FB30D2" w:rsidRDefault="005245BE" w:rsidP="00FB30D2">
      <w:pPr>
        <w:spacing w:line="360" w:lineRule="auto"/>
        <w:rPr>
          <w:rFonts w:eastAsia="Times New Roman" w:cs="Times New Roman"/>
          <w:color w:val="auto"/>
          <w:lang w:val="en-US"/>
        </w:rPr>
      </w:pPr>
      <w:r w:rsidRPr="00FB30D2">
        <w:rPr>
          <w:rFonts w:eastAsia="Times New Roman" w:cs="Times New Roman"/>
          <w:b/>
          <w:bCs/>
          <w:color w:val="auto"/>
          <w:lang w:val="en-US"/>
        </w:rPr>
        <w:t>-</w:t>
      </w:r>
      <w:r w:rsidR="00AE4A83" w:rsidRPr="00FB30D2">
        <w:rPr>
          <w:rFonts w:eastAsia="Times New Roman" w:cs="Times New Roman"/>
          <w:b/>
          <w:bCs/>
          <w:color w:val="auto"/>
          <w:lang w:val="en-US"/>
        </w:rPr>
        <w:t>cT3 (MRF-/+) N0 retto</w:t>
      </w:r>
      <w:r w:rsidR="00AE4A83" w:rsidRPr="00FB30D2">
        <w:rPr>
          <w:rFonts w:eastAsia="Times New Roman" w:cs="Times New Roman"/>
          <w:b/>
          <w:bCs/>
          <w:color w:val="auto"/>
          <w:lang w:val="en-US"/>
        </w:rPr>
        <w:br/>
        <w:t>-</w:t>
      </w:r>
      <w:r w:rsidR="00ED7B5A" w:rsidRPr="00FB30D2">
        <w:rPr>
          <w:rFonts w:eastAsia="Times New Roman" w:cs="Times New Roman"/>
          <w:b/>
          <w:bCs/>
          <w:color w:val="auto"/>
          <w:lang w:val="en-US"/>
        </w:rPr>
        <w:t xml:space="preserve">cT3-4 N0-2 </w:t>
      </w:r>
      <w:r w:rsidR="00ED7B5A" w:rsidRPr="00FB30D2">
        <w:rPr>
          <w:rFonts w:eastAsia="Times New Roman" w:cs="Times New Roman"/>
          <w:b/>
          <w:bCs/>
          <w:color w:val="auto"/>
          <w:lang w:val="en-US"/>
        </w:rPr>
        <w:br/>
        <w:t xml:space="preserve">- T3-T4 (MRF+) N0-N2 </w:t>
      </w:r>
    </w:p>
    <w:p w:rsidR="001F2F65" w:rsidRPr="00FB30D2" w:rsidRDefault="00ED7B5A" w:rsidP="00FB30D2">
      <w:pPr>
        <w:spacing w:line="360" w:lineRule="auto"/>
        <w:rPr>
          <w:rFonts w:eastAsia="Times New Roman" w:cs="Times New Roman"/>
          <w:color w:val="auto"/>
        </w:rPr>
      </w:pPr>
      <w:r w:rsidRPr="00FB30D2">
        <w:rPr>
          <w:rFonts w:eastAsia="Times New Roman" w:cs="Times New Roman"/>
          <w:color w:val="auto"/>
        </w:rPr>
        <w:t xml:space="preserve">Esistono due </w:t>
      </w:r>
      <w:r w:rsidR="00AE4A83" w:rsidRPr="00FB30D2">
        <w:rPr>
          <w:rFonts w:eastAsia="Times New Roman" w:cs="Times New Roman"/>
          <w:color w:val="auto"/>
        </w:rPr>
        <w:t>modalità</w:t>
      </w:r>
      <w:r w:rsidRPr="00FB30D2">
        <w:rPr>
          <w:rFonts w:eastAsia="Times New Roman" w:cs="Times New Roman"/>
          <w:color w:val="auto"/>
        </w:rPr>
        <w:t xml:space="preserve">̀ di trattamento radiante preoperatorio:  </w:t>
      </w:r>
    </w:p>
    <w:p w:rsidR="001F2F65" w:rsidRPr="00FB30D2" w:rsidRDefault="00ED7B5A" w:rsidP="00FB30D2">
      <w:pPr>
        <w:spacing w:line="360" w:lineRule="auto"/>
        <w:jc w:val="both"/>
        <w:rPr>
          <w:rFonts w:cs="Times New Roman"/>
          <w:color w:val="auto"/>
        </w:rPr>
      </w:pPr>
      <w:r w:rsidRPr="00FB30D2">
        <w:rPr>
          <w:rFonts w:cs="Times New Roman"/>
          <w:b/>
          <w:color w:val="auto"/>
        </w:rPr>
        <w:t>RADIOTERAPIA CONCOMITANTE ALLA CHEMIOTERAPIA (CRT, CICLO LUNGO-LONG COURSE):</w:t>
      </w:r>
      <w:r w:rsidRPr="00FB30D2">
        <w:rPr>
          <w:rFonts w:cs="Times New Roman"/>
          <w:color w:val="auto"/>
        </w:rPr>
        <w:t xml:space="preserve"> con dosaggio di 45-50.4 Gy totali sui linfonodi pelvici e mesoretto , mediante frazioni: 25-28 fr.1.8 Gy/die , ed eventuale  boost (non mandatorio fino a 55.4 Gy) sulla malattia macroscopica (T ed eventuali N).</w:t>
      </w:r>
      <w:r w:rsidRPr="00FB30D2">
        <w:rPr>
          <w:rFonts w:cs="Times New Roman"/>
          <w:i/>
          <w:iCs/>
          <w:color w:val="auto"/>
        </w:rPr>
        <w:t xml:space="preserve">  Chemioterapia concomitante con fluoropirimidine </w:t>
      </w:r>
      <w:r w:rsidRPr="00FB30D2">
        <w:rPr>
          <w:rFonts w:cs="Times New Roman"/>
          <w:color w:val="auto"/>
        </w:rPr>
        <w:t xml:space="preserve">(infusione continua di 5-Fluorouracile 225 mg/mq/die o capecitabina 825 mg/mq/bid per os per tutta la durata della RT). </w:t>
      </w:r>
    </w:p>
    <w:p w:rsidR="001F2F65" w:rsidRPr="00FB30D2" w:rsidRDefault="001F2F65" w:rsidP="00FB30D2">
      <w:pPr>
        <w:spacing w:line="360" w:lineRule="auto"/>
        <w:jc w:val="both"/>
        <w:rPr>
          <w:rFonts w:cs="Times New Roman"/>
          <w:color w:val="auto"/>
        </w:rPr>
      </w:pPr>
    </w:p>
    <w:p w:rsidR="001F2F65" w:rsidRPr="00FB30D2" w:rsidRDefault="00ED7B5A" w:rsidP="00FB30D2">
      <w:pPr>
        <w:spacing w:line="360" w:lineRule="auto"/>
        <w:jc w:val="both"/>
        <w:rPr>
          <w:rFonts w:cs="Times New Roman"/>
          <w:color w:val="auto"/>
        </w:rPr>
      </w:pPr>
      <w:r w:rsidRPr="00FB30D2">
        <w:rPr>
          <w:rFonts w:cs="Times New Roman"/>
          <w:b/>
          <w:color w:val="auto"/>
        </w:rPr>
        <w:t>RADIOTERAPIA ESCLUSIVA (CICLO BREVE - SHORT COURSE)</w:t>
      </w:r>
      <w:r w:rsidRPr="00FB30D2">
        <w:rPr>
          <w:rFonts w:cs="Times New Roman"/>
          <w:color w:val="auto"/>
        </w:rPr>
        <w:t xml:space="preserve">: con dosaggio di 25 Gy totali in 5 frazioni da 5 Gy/die.  Questa </w:t>
      </w:r>
      <w:r w:rsidR="00AE4A83" w:rsidRPr="00FB30D2">
        <w:rPr>
          <w:rFonts w:cs="Times New Roman"/>
          <w:color w:val="auto"/>
        </w:rPr>
        <w:t>modalità</w:t>
      </w:r>
      <w:r w:rsidRPr="00FB30D2">
        <w:rPr>
          <w:rFonts w:cs="Times New Roman"/>
          <w:color w:val="auto"/>
        </w:rPr>
        <w:t xml:space="preserve">̀ di trattamento non è preferibile qualora si volesse ottenere un downsizing del tumore, per cui non va utilizzata se si vuole ottenere una preservazione sfinterica o se il tumore ha interessato o è vicino alla fascia mesorettale (&lt;= 1 mm). E’ invece da preferire nei casi di sanguinamento (scopo emostatico) o nei pazienti anziani che mal tollererebbero un </w:t>
      </w:r>
      <w:r w:rsidR="00AE4A83" w:rsidRPr="00FB30D2">
        <w:rPr>
          <w:rFonts w:cs="Times New Roman"/>
          <w:color w:val="auto"/>
        </w:rPr>
        <w:t>trattamento</w:t>
      </w:r>
      <w:r w:rsidRPr="00FB30D2">
        <w:rPr>
          <w:rFonts w:cs="Times New Roman"/>
          <w:color w:val="auto"/>
        </w:rPr>
        <w:t xml:space="preserve"> Long Course.</w:t>
      </w:r>
    </w:p>
    <w:p w:rsidR="001F2F65" w:rsidRPr="00FB30D2" w:rsidRDefault="00AE4A83" w:rsidP="00FB30D2">
      <w:pPr>
        <w:spacing w:line="360" w:lineRule="auto"/>
        <w:jc w:val="both"/>
        <w:rPr>
          <w:rFonts w:cs="Times New Roman"/>
          <w:color w:val="auto"/>
        </w:rPr>
      </w:pPr>
      <w:r w:rsidRPr="00FB30D2">
        <w:rPr>
          <w:rFonts w:cs="Times New Roman"/>
          <w:color w:val="auto"/>
        </w:rPr>
        <w:t>L’intervento</w:t>
      </w:r>
      <w:r w:rsidR="00ED7B5A" w:rsidRPr="00FB30D2">
        <w:rPr>
          <w:rFonts w:cs="Times New Roman"/>
          <w:color w:val="auto"/>
        </w:rPr>
        <w:t xml:space="preserve"> chirurgico verrà pianificato a 6-8 settimane dalla fine del trattamento radiante, previa ristadiazione endoscopica e radiologica. Anche se le recenti metaanalisi e lavori propongono di dilazionare l’approccio chirurgico anche con tempistiche superiori (fino a 12 settimane) magari quando possibile associando ulteriore trattamento sistemico tra la fine della RT e la chirurgia.</w:t>
      </w:r>
    </w:p>
    <w:p w:rsidR="001F2F65" w:rsidRPr="00FB30D2" w:rsidRDefault="00ED7B5A" w:rsidP="00FB30D2">
      <w:pPr>
        <w:spacing w:line="360" w:lineRule="auto"/>
        <w:jc w:val="both"/>
        <w:rPr>
          <w:rFonts w:cs="Times New Roman"/>
          <w:color w:val="auto"/>
        </w:rPr>
      </w:pPr>
      <w:r w:rsidRPr="00FB30D2">
        <w:rPr>
          <w:rFonts w:cs="Times New Roman"/>
          <w:color w:val="auto"/>
        </w:rPr>
        <w:t>I pazienti operati, a prescindere dallo stadio iniziale, verranno poi rivisti in ambito multidisciplinare per programmare il proseguo terapeutico sulla base della stadiazione patologica (ypTNM), figura 4. Qualora fosse indicata una terapia adiuvante, essa andrà proseguita per 6 mesi complessivi, 4 mesi di terapia post-chirurgica, considerando anche l’eventuale trattamento chemioterapico pre-operatorio.</w:t>
      </w:r>
    </w:p>
    <w:p w:rsidR="001F2F65" w:rsidRPr="00FB30D2" w:rsidRDefault="00ED7B5A" w:rsidP="00FB30D2">
      <w:pPr>
        <w:spacing w:line="360" w:lineRule="auto"/>
        <w:jc w:val="both"/>
        <w:rPr>
          <w:rFonts w:cs="Times New Roman"/>
          <w:color w:val="auto"/>
        </w:rPr>
      </w:pPr>
      <w:r w:rsidRPr="00FB30D2">
        <w:rPr>
          <w:rFonts w:cs="Times New Roman"/>
          <w:color w:val="auto"/>
        </w:rPr>
        <w:t>Al termine del trattamento, il paziente proseguirà con le visite di controllo in regime ambulatoriale.</w:t>
      </w:r>
    </w:p>
    <w:p w:rsidR="001F2F65" w:rsidRPr="00FB30D2" w:rsidRDefault="001F2F65" w:rsidP="00FB30D2">
      <w:pPr>
        <w:tabs>
          <w:tab w:val="left" w:pos="154"/>
        </w:tabs>
        <w:spacing w:line="360" w:lineRule="auto"/>
        <w:jc w:val="both"/>
        <w:rPr>
          <w:rFonts w:cs="Times New Roman"/>
          <w:b/>
          <w:bCs/>
          <w:color w:val="auto"/>
        </w:rPr>
      </w:pPr>
    </w:p>
    <w:p w:rsidR="001F2F65" w:rsidRPr="00FB30D2" w:rsidRDefault="00ED7B5A" w:rsidP="00FB30D2">
      <w:pPr>
        <w:tabs>
          <w:tab w:val="left" w:pos="154"/>
        </w:tabs>
        <w:spacing w:line="360" w:lineRule="auto"/>
        <w:jc w:val="both"/>
        <w:rPr>
          <w:rFonts w:cs="Times New Roman"/>
          <w:b/>
          <w:bCs/>
          <w:color w:val="auto"/>
        </w:rPr>
      </w:pPr>
      <w:r w:rsidRPr="00FB30D2">
        <w:rPr>
          <w:rFonts w:cs="Times New Roman"/>
          <w:b/>
          <w:bCs/>
          <w:color w:val="auto"/>
        </w:rPr>
        <w:t>Malattia avanzata (stadio IV)</w:t>
      </w:r>
    </w:p>
    <w:p w:rsidR="001F2F65" w:rsidRPr="00FB30D2" w:rsidRDefault="00AE4A83" w:rsidP="00FB30D2">
      <w:pPr>
        <w:spacing w:line="360" w:lineRule="auto"/>
        <w:jc w:val="both"/>
        <w:rPr>
          <w:rFonts w:cs="Times New Roman"/>
          <w:color w:val="auto"/>
        </w:rPr>
      </w:pPr>
      <w:r w:rsidRPr="00FB30D2">
        <w:rPr>
          <w:rFonts w:cs="Times New Roman"/>
          <w:color w:val="auto"/>
        </w:rPr>
        <w:t>È</w:t>
      </w:r>
      <w:r w:rsidR="00ED7B5A" w:rsidRPr="00FB30D2">
        <w:rPr>
          <w:rFonts w:cs="Times New Roman"/>
          <w:color w:val="auto"/>
        </w:rPr>
        <w:t xml:space="preserve"> soprattutto in questo stadio che la valutazione multidisciplinare è fondamentale nel definire una strategia comune, attraverso la condivisione della sequenza dei trattamenti e la tempistica degli stessi, più idonea per il singolo paziente. In caso di tumore primitivo colon-rettale poco o per nulla sintomatico, l’approccio in prima istanza è solitamente oncologico con rivalutazione per resezione chirurgica, sia del primitivo che delle metastasi, in base alla risposta evidenziata alla rivalutazione strumentale. In caso invece di tumore primitivo sintomatico (ad esempio per sanguinamento od occlusione), la scelta più appropriata può essere la resezione del tumore intestinale in prima istanza seguita dal trattamento chemioterapico, figura 4. Nei casi di neoplasia in stadio avanzato, l’introduzione nella pratica clinica di nuovi farmaci (oxaliplatino, irinotecan, bevacizumab, aflibercept, cetuximab, panitumumab, regorafenib, trifluridina-tipiracile) ha progressivamente migliorato la sopravvivenza portandone la mediana ad oltre 24 mesi e consentendo in alcuni casi un downstaging efficace e tale da rendere operabile la malattia metastatica, figura 4. Nei casi in cui non sia fattibile un trattamento con intento radicale, l’obiettivo del trattamento sistemico sarà quello di ridurre o posticipare l’insorgenza dei sintomi legati alla malattia, migliorare la qualità di vita e prolungare la sopravvivenza, figura 4.</w:t>
      </w:r>
    </w:p>
    <w:p w:rsidR="001F2F65" w:rsidRPr="00FB30D2" w:rsidRDefault="00ED7B5A" w:rsidP="00FB30D2">
      <w:pPr>
        <w:spacing w:line="360" w:lineRule="auto"/>
        <w:jc w:val="both"/>
        <w:rPr>
          <w:rFonts w:cs="Times New Roman"/>
          <w:color w:val="auto"/>
        </w:rPr>
      </w:pPr>
      <w:r w:rsidRPr="00FB30D2">
        <w:rPr>
          <w:rFonts w:cs="Times New Roman"/>
          <w:color w:val="auto"/>
        </w:rPr>
        <w:t>La scelta del trattamento avverrà quindi in base a:</w:t>
      </w:r>
    </w:p>
    <w:p w:rsidR="001F2F65" w:rsidRPr="00FB30D2" w:rsidRDefault="00ED7B5A" w:rsidP="00FB30D2">
      <w:pPr>
        <w:pStyle w:val="Paragrafoelenco"/>
        <w:numPr>
          <w:ilvl w:val="0"/>
          <w:numId w:val="17"/>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Caratteristiche del paziente (condizioni generali, età, comorbilità);</w:t>
      </w:r>
    </w:p>
    <w:p w:rsidR="001F2F65" w:rsidRPr="00FB30D2" w:rsidRDefault="00ED7B5A" w:rsidP="00FB30D2">
      <w:pPr>
        <w:pStyle w:val="Paragrafoelenco"/>
        <w:numPr>
          <w:ilvl w:val="0"/>
          <w:numId w:val="17"/>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Caratteristiche della malattia (malattia aggressiva vs malattia indolente, malattia resecabile vs potenzialmente resecabile vs malattia non resecabile);</w:t>
      </w:r>
    </w:p>
    <w:p w:rsidR="001F2F65" w:rsidRPr="00FB30D2" w:rsidRDefault="00ED7B5A" w:rsidP="00FB30D2">
      <w:pPr>
        <w:pStyle w:val="Paragrafoelenco"/>
        <w:numPr>
          <w:ilvl w:val="0"/>
          <w:numId w:val="17"/>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 xml:space="preserve">Analisi mutazionali (gene RAS e BRAF). </w:t>
      </w:r>
    </w:p>
    <w:p w:rsidR="002B7666" w:rsidRPr="00FB30D2" w:rsidRDefault="002B7666" w:rsidP="00FB30D2">
      <w:pPr>
        <w:pStyle w:val="Paragrafoelenco"/>
        <w:numPr>
          <w:ilvl w:val="0"/>
          <w:numId w:val="17"/>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Analisi di Mismatch repair (MMR)/Instabilità microsatellitare (MSI)</w:t>
      </w:r>
    </w:p>
    <w:p w:rsidR="001F2F65" w:rsidRPr="00FB30D2" w:rsidRDefault="00ED7B5A" w:rsidP="00FB30D2">
      <w:pPr>
        <w:pStyle w:val="Paragrafoelenco"/>
        <w:numPr>
          <w:ilvl w:val="0"/>
          <w:numId w:val="17"/>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Sede del tumore primitivo</w:t>
      </w:r>
    </w:p>
    <w:p w:rsidR="001F2F65" w:rsidRPr="00FB30D2" w:rsidRDefault="00ED7B5A" w:rsidP="00FB30D2">
      <w:pPr>
        <w:spacing w:line="360" w:lineRule="auto"/>
        <w:jc w:val="both"/>
        <w:rPr>
          <w:rFonts w:cs="Times New Roman"/>
          <w:color w:val="auto"/>
        </w:rPr>
      </w:pPr>
      <w:r w:rsidRPr="00FB30D2">
        <w:rPr>
          <w:rFonts w:cs="Times New Roman"/>
          <w:color w:val="auto"/>
        </w:rPr>
        <w:t>Queste ultime, oltre a caratterizzare la neoplasia dal punto di vista biologico, sono fondamentali nella scelta dei farmaci biologici da associare alla chemioterapia (anticorpi monoclonali anti-EGFR, nei pazienti RAS wild-type, ed anti-angiogenici altrimenti), anche nell’ambito di protocolli sperimentali. La chemioterapia può essere composta da fluoropirimidine (soprattutto nel paziente anziano o con importanti comorbidità), dall’associazione di queste con irinotecano od oxaliplatino, oppure dall’insieme di tutti e tre i citotossici in casi selezionati. In funzione del quadro di malattia, le modalità di somministrazione dei trattamenti ed una più facile gestione in caso di supporto endovenoso domiciliare, viene proposto, ai pazienti con malattia avanzata, il posizionamento di un accesso venoso centrale tipo port-a-cath o p.i.c.c. (peripherally inserted central catheter).</w:t>
      </w:r>
    </w:p>
    <w:p w:rsidR="001F2F65" w:rsidRPr="00FB30D2" w:rsidRDefault="00ED7B5A" w:rsidP="00FB30D2">
      <w:pPr>
        <w:spacing w:line="360" w:lineRule="auto"/>
        <w:jc w:val="both"/>
        <w:rPr>
          <w:rFonts w:cs="Times New Roman"/>
          <w:color w:val="auto"/>
        </w:rPr>
      </w:pPr>
      <w:r w:rsidRPr="00FB30D2">
        <w:rPr>
          <w:rFonts w:cs="Times New Roman"/>
          <w:color w:val="auto"/>
        </w:rPr>
        <w:t>Gli schemi di scelta nella prima linea prevedono una schedula di chemioterapia, generalmente una doppietta o tripletta, in associazione ad un anticorpo monoclonale in base al profilo mutazionale.</w:t>
      </w:r>
    </w:p>
    <w:p w:rsidR="001F2F65" w:rsidRPr="00FB30D2" w:rsidRDefault="001F2F65" w:rsidP="00FB30D2">
      <w:pPr>
        <w:spacing w:line="360" w:lineRule="auto"/>
        <w:jc w:val="both"/>
        <w:rPr>
          <w:rFonts w:cs="Times New Roman"/>
          <w:color w:val="auto"/>
        </w:rPr>
      </w:pPr>
    </w:p>
    <w:p w:rsidR="001F2F65" w:rsidRPr="00FB30D2" w:rsidRDefault="00ED7B5A" w:rsidP="00FB30D2">
      <w:pPr>
        <w:pStyle w:val="Paragrafoelenco"/>
        <w:numPr>
          <w:ilvl w:val="0"/>
          <w:numId w:val="18"/>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FOLFOX 6 modificato (oxaliplatino ev 85 mg/m2 giorno 1, acido levofolinico 200 mg/m2 e 5FU bolo ev 400 mg/m2 giorno 1, 5FU 2400 mg/m2 in ic per 46 ore) in associazione a bevacizumab 5 mg/kg, in assenza di controindicazioni all’anti-VEGF, ogni 14 giorni;</w:t>
      </w:r>
    </w:p>
    <w:p w:rsidR="001F2F65" w:rsidRPr="00FB30D2" w:rsidRDefault="00ED7B5A" w:rsidP="00FB30D2">
      <w:pPr>
        <w:pStyle w:val="Paragrafoelenco"/>
        <w:numPr>
          <w:ilvl w:val="0"/>
          <w:numId w:val="18"/>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FOLFOX 6 modificato (oxaliplatino ev 85 mg/m2 giorno 1, acido levofolinico 200 mg/m2 e 5FU bolo ev 400 mg/m2 giorno 1, 5FU 2400 mg/m2 in ic per 46 ore) in associazione a panitumumab 6 mg/kg, ogni 14 giorni oppure in associazione a cetuximab (400 mg/m2 giorno 1 del primo ciclo poi 250 mg/m2 giorno 8 del primo ciclo e dosi successive), ogni 14 giorni;</w:t>
      </w:r>
    </w:p>
    <w:p w:rsidR="001F2F65" w:rsidRPr="00FB30D2" w:rsidRDefault="00ED7B5A" w:rsidP="00FB30D2">
      <w:pPr>
        <w:pStyle w:val="Paragrafoelenco"/>
        <w:numPr>
          <w:ilvl w:val="0"/>
          <w:numId w:val="18"/>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XELOX (oxaliplatino ev 130 mg/m2 giorno 1 e capecitabina per os 2000 mg/m2 bid per 14 giorni) in associazione a bevacizumab 7.5 mg/kg, ogni 21 giorni;</w:t>
      </w:r>
    </w:p>
    <w:p w:rsidR="001F2F65" w:rsidRPr="00FB30D2" w:rsidRDefault="00ED7B5A" w:rsidP="00FB30D2">
      <w:pPr>
        <w:pStyle w:val="Paragrafoelenco"/>
        <w:numPr>
          <w:ilvl w:val="0"/>
          <w:numId w:val="18"/>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FOLFIRI (irinotecan 180 mg/m2, acido levofolinico 200 mg/m2 e 5FU bolo 400 mg/m2, 5FU 2400 mg/m2 ic 46 ore in associazione a bevacizumab 5 mg/kg, ogni 14 giorni</w:t>
      </w:r>
    </w:p>
    <w:p w:rsidR="001F2F65" w:rsidRPr="00FB30D2" w:rsidRDefault="00ED7B5A" w:rsidP="00FB30D2">
      <w:pPr>
        <w:pStyle w:val="Paragrafoelenco"/>
        <w:numPr>
          <w:ilvl w:val="0"/>
          <w:numId w:val="18"/>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FOLFIRI ogni 14 giorni in associazione a cetuximab (400 mg/m2 giorno 1 del primo ciclo poi 250 mg/m2 giorno 8 del primo ciclo) o panitumumab (6mg/kg) ogni 14 giorni;</w:t>
      </w:r>
    </w:p>
    <w:p w:rsidR="001F2F65" w:rsidRPr="00FB30D2" w:rsidRDefault="00ED7B5A" w:rsidP="00FB30D2">
      <w:pPr>
        <w:pStyle w:val="Paragrafoelenco"/>
        <w:numPr>
          <w:ilvl w:val="0"/>
          <w:numId w:val="18"/>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FOLFOXIRI (oxaliplatino ev 85 mg/m2 giorno 1, irinotecan ev 150 mg/m2 giorno 1, 5FU  3200 mg/m2 giorno 1 ic 46 ore) eventualmente in associazione a bevacizumab, ogni 14 giorni;</w:t>
      </w:r>
    </w:p>
    <w:p w:rsidR="001F2F65" w:rsidRPr="00FB30D2" w:rsidRDefault="00ED7B5A" w:rsidP="00FB30D2">
      <w:pPr>
        <w:pStyle w:val="Paragrafoelenco"/>
        <w:numPr>
          <w:ilvl w:val="0"/>
          <w:numId w:val="18"/>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Capecitabina 2500 mg/m2 bid per 14 giorni, in particolare nei pazienti anziani o “fragili”, se possibile in associazione a bevacizumab 7.5 mg/kg, ogni 21 giorni.</w:t>
      </w:r>
    </w:p>
    <w:p w:rsidR="001F2F65" w:rsidRPr="00FB30D2" w:rsidRDefault="00ED7B5A" w:rsidP="00FB30D2">
      <w:pPr>
        <w:spacing w:line="360" w:lineRule="auto"/>
        <w:jc w:val="both"/>
        <w:rPr>
          <w:rFonts w:cs="Times New Roman"/>
          <w:color w:val="auto"/>
        </w:rPr>
      </w:pPr>
      <w:r w:rsidRPr="00FB30D2">
        <w:rPr>
          <w:rFonts w:cs="Times New Roman"/>
          <w:color w:val="auto"/>
        </w:rPr>
        <w:t xml:space="preserve">Indipendentemente dal tipo di schedula adottata, il giorno 1 di ciascun ciclo è prevista una visita ambulatoriale di controllo comprensiva di prelievo ematochimico, valutazione clinica con registrazione degli eventi avversi ed esame obiettivo. Dopo 4-6 cicli di trattamento saranno ripetuti ematochimica completa con marcatori di malattia ed una TAC di rivalutazione Torace/Addome con mezzo di contrasto in base alla quale si deciderà il proseguo del trattamento secondo l’entità della risposta e della tolleranza. La chemioterapia verrà generalmente eseguita per un 6 mesi, oltre ai quali, a seconda dei casi, il trattamento può essere proseguito con una terapia “depotenziata” di mantenimento generalmente costituita dall’anticorpo monoclonale cetuximab o dalla combinazione di bevaizumab e fluoropirimidina. </w:t>
      </w:r>
    </w:p>
    <w:p w:rsidR="001F2F65" w:rsidRPr="00FB30D2" w:rsidRDefault="00ED7B5A" w:rsidP="00FB30D2">
      <w:pPr>
        <w:spacing w:line="360" w:lineRule="auto"/>
        <w:jc w:val="both"/>
        <w:rPr>
          <w:rFonts w:cs="Times New Roman"/>
          <w:color w:val="auto"/>
        </w:rPr>
      </w:pPr>
      <w:r w:rsidRPr="00FB30D2">
        <w:rPr>
          <w:rFonts w:cs="Times New Roman"/>
          <w:color w:val="auto"/>
        </w:rPr>
        <w:t xml:space="preserve">Dopo la progressione alla prima linea di terapia sistemica, se le condizioni cliniche lo consentono, il trattamento d’elezione è rappresentato dalla somministrazione di una doppietta di chemioterapia in associazione eventualmente ad un anticorpo monoclonale in base a comorbidità e profilo di tossicità, trattamento sistemico somministrato in prima linea, istologia e profilo mutazionale di RAS e BRAF. Il trattamento d’elezione a progressione può essere rappresentato dalla sola chemioterapia (fluoropirimidine +/- irinotecan od oxaliplatino, a seconda di quanto già eseguito) eventualmente in associazione ad un anticorpo monoclonale. Se non l’avessero già ricevuto durante il trattamento di prima linea, i pazienti senza riscontro di mutazione di RAS potranno ricevere un anticorpo anti-EGFR (cetuximab o panitumumab) in II o III linea di trattamento oppure un anticorpo anti-VEGF (come aflibercept 4 mg/kg ogni 14 giorni associato al FOLFIRI), sino a progressione o tossicità intollerabile. In terza linea od oltre si è recentemente reso disponibile regorafenib, al dosaggio di 160 mg/die per 21 giorni ogni 4 </w:t>
      </w:r>
      <w:r w:rsidR="0081567F" w:rsidRPr="00FB30D2">
        <w:rPr>
          <w:rFonts w:cs="Times New Roman"/>
          <w:color w:val="auto"/>
        </w:rPr>
        <w:t>settimane, oppure</w:t>
      </w:r>
      <w:r w:rsidRPr="00FB30D2">
        <w:rPr>
          <w:rFonts w:cs="Times New Roman"/>
          <w:color w:val="auto"/>
        </w:rPr>
        <w:t xml:space="preserve"> la trifluoridina-tipiracile al dosaggio di 35mg/mq g1-5, g8-12, ogni 28 giorni</w:t>
      </w:r>
      <w:r w:rsidR="0081567F">
        <w:rPr>
          <w:rFonts w:cs="Times New Roman"/>
          <w:color w:val="auto"/>
        </w:rPr>
        <w:t xml:space="preserve"> (indicazione in EMA ma non rimborsabile)</w:t>
      </w:r>
      <w:r w:rsidRPr="00FB30D2">
        <w:rPr>
          <w:rFonts w:cs="Times New Roman"/>
          <w:color w:val="auto"/>
        </w:rPr>
        <w:t>. Qualora possibile, va valutato ed incoraggiato in questo setting l’arruolamento nell’ambito di studi clinici.</w:t>
      </w:r>
    </w:p>
    <w:p w:rsidR="001F2F65" w:rsidRPr="00FB30D2" w:rsidRDefault="00ED7B5A" w:rsidP="00FB30D2">
      <w:pPr>
        <w:spacing w:line="360" w:lineRule="auto"/>
        <w:jc w:val="both"/>
        <w:rPr>
          <w:rFonts w:cs="Times New Roman"/>
          <w:color w:val="auto"/>
        </w:rPr>
      </w:pPr>
      <w:r w:rsidRPr="00FB30D2">
        <w:rPr>
          <w:rFonts w:cs="Times New Roman"/>
          <w:color w:val="auto"/>
        </w:rPr>
        <w:t>Durante la prima o le successive linee di trattamento o nel corso della terapia di mantenimento, il follow-up clinico e radiologico è previsto ogni 2-3 mesi, al fine di poter iniziare precocemente una nuova linea di trattamento in caso di progressione di malattia.</w:t>
      </w:r>
    </w:p>
    <w:p w:rsidR="001F2F65" w:rsidRPr="00FB30D2" w:rsidRDefault="002B7666" w:rsidP="00FB30D2">
      <w:pPr>
        <w:spacing w:line="360" w:lineRule="auto"/>
        <w:jc w:val="both"/>
        <w:rPr>
          <w:rFonts w:cs="Times New Roman"/>
          <w:color w:val="auto"/>
          <w:lang w:val="en-GB"/>
        </w:rPr>
      </w:pPr>
      <w:r w:rsidRPr="00FB30D2">
        <w:rPr>
          <w:rFonts w:cs="Times New Roman"/>
          <w:color w:val="auto"/>
        </w:rPr>
        <w:t xml:space="preserve">Negli ultimi anni sono emerse chiare evidenze dell’importanza del trattamento con l’Immunoterapia nei pazienti con l’assenza di una delle proteine del MMR, valutate mediante immunoistochimica, o positivita del MSI, valutata mediante PCR. In base alle ultime evidenze scientifiche e alle recenti approvazioni per la rimborsabilità avvenute nel nostro paese tali pazienti in caso di </w:t>
      </w:r>
      <w:r w:rsidR="00AD0903" w:rsidRPr="00FB30D2">
        <w:rPr>
          <w:rFonts w:cs="Times New Roman"/>
          <w:color w:val="auto"/>
        </w:rPr>
        <w:t xml:space="preserve">tali </w:t>
      </w:r>
      <w:r w:rsidRPr="00FB30D2">
        <w:rPr>
          <w:rFonts w:cs="Times New Roman"/>
          <w:color w:val="auto"/>
        </w:rPr>
        <w:t xml:space="preserve">alterazioni </w:t>
      </w:r>
      <w:r w:rsidR="00AD0903" w:rsidRPr="00FB30D2">
        <w:rPr>
          <w:rFonts w:cs="Times New Roman"/>
          <w:color w:val="auto"/>
        </w:rPr>
        <w:t>dovranno praticare in prima linea trattamento con Pembrolizumab alla dose di 200 mg, come flat dose, ogni tre settimane (Andrè T. et al N Engl J Med 2020 Dec 3;383(23):2207-2218) per due anni o fino progressione di malattia. Inoltre in base alle recenti evidenze dello studio checkmate 142 confermate ad un follow up mediano di 4 anni, i pazienti con alterazioni di MMR o MSI non trattati in prima linea con pembrolizuamb po</w:t>
      </w:r>
      <w:r w:rsidR="00CA124E" w:rsidRPr="00FB30D2">
        <w:rPr>
          <w:rFonts w:cs="Times New Roman"/>
          <w:color w:val="auto"/>
        </w:rPr>
        <w:t>tranno</w:t>
      </w:r>
      <w:r w:rsidR="00AD0903" w:rsidRPr="00FB30D2">
        <w:rPr>
          <w:rFonts w:cs="Times New Roman"/>
          <w:color w:val="auto"/>
        </w:rPr>
        <w:t xml:space="preserve"> ricevere in seconda linea trattamento con Nivolumab 3mg/m2 + Ipilimumab 1 mg/m2 per 4 cicli </w:t>
      </w:r>
      <w:r w:rsidR="00CA124E" w:rsidRPr="00FB30D2">
        <w:rPr>
          <w:rFonts w:cs="Times New Roman"/>
          <w:color w:val="auto"/>
        </w:rPr>
        <w:t xml:space="preserve">seguiti da mantenimento con Nivolumab 240 mg, flat dose, ogni 2 settimane (Overman MJ, et al. </w:t>
      </w:r>
      <w:r w:rsidR="00CA124E" w:rsidRPr="00FB30D2">
        <w:rPr>
          <w:rFonts w:cs="Times New Roman"/>
          <w:color w:val="auto"/>
          <w:lang w:val="en-US"/>
        </w:rPr>
        <w:t xml:space="preserve">J Clin Oncol. 2018;36:773-779; Overman MJ J Clin Oncol. </w:t>
      </w:r>
      <w:r w:rsidR="00CA124E" w:rsidRPr="00FB30D2">
        <w:rPr>
          <w:rFonts w:cs="Times New Roman"/>
          <w:color w:val="auto"/>
          <w:lang w:val="en-GB"/>
        </w:rPr>
        <w:t>2019;37:635; Andrè T et al Ann Oncol 2022 Oct;33(10):1052-1060).</w:t>
      </w:r>
    </w:p>
    <w:p w:rsidR="001F2F65" w:rsidRPr="00FB30D2" w:rsidRDefault="00ED7B5A" w:rsidP="00FB30D2">
      <w:pPr>
        <w:spacing w:line="360" w:lineRule="auto"/>
        <w:jc w:val="both"/>
        <w:rPr>
          <w:rFonts w:cs="Times New Roman"/>
          <w:color w:val="auto"/>
        </w:rPr>
      </w:pPr>
      <w:r w:rsidRPr="00FB30D2">
        <w:rPr>
          <w:rFonts w:cs="Times New Roman"/>
          <w:color w:val="auto"/>
        </w:rPr>
        <w:t>Quindi durante il percorso stadiativo/terapeutico dei pazienti con neoplasia colon-rettale accertata si procederà alla:</w:t>
      </w:r>
    </w:p>
    <w:p w:rsidR="001F2F65" w:rsidRPr="00FB30D2" w:rsidRDefault="001F2F65" w:rsidP="00FB30D2">
      <w:pPr>
        <w:spacing w:line="360" w:lineRule="auto"/>
        <w:jc w:val="both"/>
        <w:rPr>
          <w:rFonts w:cs="Times New Roman"/>
          <w:b/>
          <w:bCs/>
          <w:color w:val="auto"/>
        </w:rPr>
      </w:pPr>
    </w:p>
    <w:p w:rsidR="001F2F65" w:rsidRPr="00FB30D2" w:rsidRDefault="00ED7B5A" w:rsidP="00FB30D2">
      <w:pPr>
        <w:spacing w:line="360" w:lineRule="auto"/>
        <w:jc w:val="both"/>
        <w:rPr>
          <w:rFonts w:cs="Times New Roman"/>
          <w:b/>
          <w:bCs/>
          <w:color w:val="auto"/>
        </w:rPr>
      </w:pPr>
      <w:r w:rsidRPr="00FB30D2">
        <w:rPr>
          <w:rFonts w:cs="Times New Roman"/>
          <w:b/>
          <w:bCs/>
          <w:color w:val="auto"/>
        </w:rPr>
        <w:t xml:space="preserve">Valutazione oncologica </w:t>
      </w:r>
    </w:p>
    <w:p w:rsidR="001F2F65" w:rsidRPr="00FB30D2" w:rsidRDefault="00ED7B5A" w:rsidP="00FB30D2">
      <w:pPr>
        <w:spacing w:after="200" w:line="360" w:lineRule="auto"/>
        <w:jc w:val="both"/>
        <w:rPr>
          <w:rFonts w:cs="Times New Roman"/>
          <w:color w:val="auto"/>
        </w:rPr>
      </w:pPr>
      <w:r w:rsidRPr="00FB30D2">
        <w:rPr>
          <w:rFonts w:cs="Times New Roman"/>
          <w:color w:val="auto"/>
        </w:rPr>
        <w:t xml:space="preserve">Anamnesi e valutazione clinica completa. </w:t>
      </w:r>
      <w:r w:rsidR="002740EA" w:rsidRPr="00FB30D2">
        <w:rPr>
          <w:rFonts w:cs="Times New Roman"/>
          <w:color w:val="auto"/>
        </w:rPr>
        <w:t>È</w:t>
      </w:r>
      <w:r w:rsidRPr="00FB30D2">
        <w:rPr>
          <w:rFonts w:cs="Times New Roman"/>
          <w:color w:val="auto"/>
        </w:rPr>
        <w:t xml:space="preserve"> essenziale che il paziente rechi con sé alla visita tutta la documentazione clinica recente in suo possesso.</w:t>
      </w:r>
    </w:p>
    <w:p w:rsidR="001F2F65" w:rsidRPr="00FB30D2" w:rsidRDefault="00ED7B5A" w:rsidP="00FB30D2">
      <w:pPr>
        <w:spacing w:after="200" w:line="360" w:lineRule="auto"/>
        <w:jc w:val="both"/>
        <w:rPr>
          <w:rFonts w:eastAsia="Arial" w:cs="Times New Roman"/>
          <w:color w:val="auto"/>
        </w:rPr>
      </w:pPr>
      <w:r w:rsidRPr="00FB30D2">
        <w:rPr>
          <w:rFonts w:cs="Times New Roman"/>
          <w:color w:val="auto"/>
        </w:rPr>
        <w:t xml:space="preserve"> Programmazione degli esami ematochimici e strumentali per la definizione dell’estensione di malattia (stadiazione) qualora non già eseguiti o per l’eventuale completamento della stadiazione.</w:t>
      </w:r>
    </w:p>
    <w:p w:rsidR="001F2F65" w:rsidRPr="00FB30D2" w:rsidRDefault="00ED7B5A" w:rsidP="00FB30D2">
      <w:pPr>
        <w:spacing w:after="200" w:line="360" w:lineRule="auto"/>
        <w:jc w:val="both"/>
        <w:rPr>
          <w:rFonts w:cs="Times New Roman"/>
          <w:color w:val="auto"/>
        </w:rPr>
      </w:pPr>
      <w:r w:rsidRPr="00FB30D2">
        <w:rPr>
          <w:rFonts w:cs="Times New Roman"/>
          <w:color w:val="auto"/>
        </w:rPr>
        <w:t>Richiesta di indagini molecolari sul materiale istologico nei pazienti con malattia metastatica, analisi mutazionale dei geni RAS (KRAS e NRAS) e BRAF, in quanto costituiscono test predittivi di risposta ai farmaci a bersaglio molecolare anti-EGFR e forniscono importanti informazioni prognostiche utili nella pianificazione della strategia terapeutica per ciascun paziente.</w:t>
      </w:r>
    </w:p>
    <w:p w:rsidR="001F2F65" w:rsidRPr="00FB30D2" w:rsidRDefault="00AE4A83" w:rsidP="00FB30D2">
      <w:pPr>
        <w:spacing w:after="200" w:line="360" w:lineRule="auto"/>
        <w:jc w:val="both"/>
        <w:rPr>
          <w:rFonts w:cs="Times New Roman"/>
          <w:color w:val="auto"/>
        </w:rPr>
      </w:pPr>
      <w:r w:rsidRPr="00FB30D2">
        <w:rPr>
          <w:rFonts w:cs="Times New Roman"/>
          <w:color w:val="auto"/>
        </w:rPr>
        <w:t>È</w:t>
      </w:r>
      <w:r w:rsidR="00ED7B5A" w:rsidRPr="00FB30D2">
        <w:rPr>
          <w:rFonts w:cs="Times New Roman"/>
          <w:color w:val="auto"/>
        </w:rPr>
        <w:t xml:space="preserve"> auspicabile pertanto, fatta salvaguardia di eventuali limiti di sicurezza, che la quantità di materiale bioptico consenta l’esecuzione di tali indagini aggiuntive. Eventuali indagini molecolari aggiuntive potranno essere eseguite, previo consenso informato del paziente, nell’ambito di progetti di ricerca</w:t>
      </w:r>
    </w:p>
    <w:p w:rsidR="001F2F65" w:rsidRPr="00FB30D2" w:rsidRDefault="00ED7B5A" w:rsidP="00FB30D2">
      <w:pPr>
        <w:spacing w:line="360" w:lineRule="auto"/>
        <w:jc w:val="both"/>
        <w:rPr>
          <w:rFonts w:cs="Times New Roman"/>
          <w:color w:val="auto"/>
        </w:rPr>
      </w:pPr>
      <w:r w:rsidRPr="00FB30D2">
        <w:rPr>
          <w:rFonts w:cs="Times New Roman"/>
          <w:color w:val="auto"/>
        </w:rPr>
        <w:t>Al termine del percorso stadiativo si procederà alla:</w:t>
      </w:r>
    </w:p>
    <w:p w:rsidR="001F2F65" w:rsidRPr="00FB30D2" w:rsidRDefault="001F2F65" w:rsidP="00FB30D2">
      <w:pPr>
        <w:spacing w:line="360" w:lineRule="auto"/>
        <w:jc w:val="both"/>
        <w:rPr>
          <w:rFonts w:cs="Times New Roman"/>
          <w:b/>
          <w:bCs/>
          <w:color w:val="auto"/>
        </w:rPr>
      </w:pPr>
    </w:p>
    <w:p w:rsidR="001F2F65" w:rsidRPr="00FB30D2" w:rsidRDefault="00ED7B5A" w:rsidP="00FB30D2">
      <w:pPr>
        <w:spacing w:line="360" w:lineRule="auto"/>
        <w:jc w:val="both"/>
        <w:rPr>
          <w:rFonts w:cs="Times New Roman"/>
          <w:b/>
          <w:bCs/>
          <w:color w:val="auto"/>
        </w:rPr>
      </w:pPr>
      <w:r w:rsidRPr="00FB30D2">
        <w:rPr>
          <w:rFonts w:cs="Times New Roman"/>
          <w:b/>
          <w:bCs/>
          <w:color w:val="auto"/>
        </w:rPr>
        <w:t>Definizione e comunicazione del programma terapeutico</w:t>
      </w:r>
    </w:p>
    <w:p w:rsidR="001F2F65" w:rsidRPr="00FB30D2" w:rsidRDefault="00ED7B5A" w:rsidP="00FB30D2">
      <w:pPr>
        <w:pStyle w:val="Paragrafoelenco"/>
        <w:numPr>
          <w:ilvl w:val="0"/>
          <w:numId w:val="19"/>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 xml:space="preserve">Comunicazione al paziente inerente la diagnosi e la prognosi della malattia; </w:t>
      </w:r>
    </w:p>
    <w:p w:rsidR="001F2F65" w:rsidRPr="00FB30D2" w:rsidRDefault="00ED7B5A" w:rsidP="00FB30D2">
      <w:pPr>
        <w:pStyle w:val="Paragrafoelenco"/>
        <w:numPr>
          <w:ilvl w:val="0"/>
          <w:numId w:val="19"/>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Proposta delle opzioni e degli obiettivi del trattamento, che potrà basarsi su una o più delle          seguenti opzioni terapeutiche: chirurgia, radioterapia, terapia sistemica, trattamenti   locoregionali;</w:t>
      </w:r>
    </w:p>
    <w:p w:rsidR="001F2F65" w:rsidRPr="00FB30D2" w:rsidRDefault="00ED7B5A" w:rsidP="00FB30D2">
      <w:pPr>
        <w:pStyle w:val="Paragrafoelenco"/>
        <w:numPr>
          <w:ilvl w:val="0"/>
          <w:numId w:val="19"/>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Pianificazione di consulti specialistici, qualora non già effettuati, nell’ambito dell’approccio multidisciplinare alla patologia.</w:t>
      </w:r>
    </w:p>
    <w:p w:rsidR="001F2F65" w:rsidRPr="00FB30D2" w:rsidRDefault="00ED7B5A" w:rsidP="00FB30D2">
      <w:pPr>
        <w:pStyle w:val="Paragrafoelenco"/>
        <w:numPr>
          <w:ilvl w:val="0"/>
          <w:numId w:val="19"/>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 xml:space="preserve">Illustrazione delle modalità di somministrazione e degli effetti collaterali possibili dei trattamenti e modalità per la prevenzione ed il trattamento degli stessi; </w:t>
      </w:r>
    </w:p>
    <w:p w:rsidR="001F2F65" w:rsidRPr="00FB30D2" w:rsidRDefault="00ED7B5A" w:rsidP="00FB30D2">
      <w:pPr>
        <w:pStyle w:val="Paragrafoelenco"/>
        <w:numPr>
          <w:ilvl w:val="0"/>
          <w:numId w:val="19"/>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 xml:space="preserve">Acquisizione del consenso informato alla terapia </w:t>
      </w:r>
    </w:p>
    <w:p w:rsidR="001F2F65" w:rsidRPr="00FB30D2" w:rsidRDefault="00ED7B5A" w:rsidP="00FB30D2">
      <w:pPr>
        <w:pStyle w:val="Paragrafoelenco"/>
        <w:numPr>
          <w:ilvl w:val="0"/>
          <w:numId w:val="19"/>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Programmazione degli appuntamenti successivi.</w:t>
      </w:r>
    </w:p>
    <w:p w:rsidR="001F2F65" w:rsidRPr="00FB30D2" w:rsidRDefault="00ED7B5A" w:rsidP="00FB30D2">
      <w:pPr>
        <w:pStyle w:val="Paragrafoelenco"/>
        <w:numPr>
          <w:ilvl w:val="0"/>
          <w:numId w:val="19"/>
        </w:numPr>
        <w:spacing w:line="360" w:lineRule="auto"/>
        <w:jc w:val="both"/>
        <w:rPr>
          <w:rFonts w:ascii="Times New Roman" w:hAnsi="Times New Roman" w:cs="Times New Roman"/>
          <w:color w:val="auto"/>
          <w:sz w:val="24"/>
          <w:szCs w:val="24"/>
        </w:rPr>
      </w:pPr>
      <w:r w:rsidRPr="00FB30D2">
        <w:rPr>
          <w:rFonts w:ascii="Times New Roman" w:hAnsi="Times New Roman" w:cs="Times New Roman"/>
          <w:color w:val="auto"/>
          <w:sz w:val="24"/>
          <w:szCs w:val="24"/>
        </w:rPr>
        <w:t xml:space="preserve">Invio di una relazione di sintesi al Medico di Medicina Generale </w:t>
      </w:r>
    </w:p>
    <w:p w:rsidR="001F2F65" w:rsidRPr="00FB30D2" w:rsidRDefault="001F2F65" w:rsidP="00FB30D2">
      <w:pPr>
        <w:spacing w:line="360" w:lineRule="auto"/>
        <w:jc w:val="both"/>
        <w:rPr>
          <w:rFonts w:cs="Times New Roman"/>
          <w:b/>
          <w:bCs/>
          <w:color w:val="auto"/>
        </w:rPr>
      </w:pPr>
    </w:p>
    <w:p w:rsidR="001F2F65" w:rsidRPr="00FB30D2" w:rsidRDefault="001F2F65" w:rsidP="00FB30D2">
      <w:pPr>
        <w:spacing w:line="360" w:lineRule="auto"/>
        <w:jc w:val="both"/>
        <w:rPr>
          <w:rFonts w:cs="Times New Roman"/>
          <w:b/>
          <w:bCs/>
          <w:color w:val="auto"/>
        </w:rPr>
      </w:pPr>
    </w:p>
    <w:p w:rsidR="001F2F65" w:rsidRPr="00FB30D2" w:rsidRDefault="001F2F65" w:rsidP="00FB30D2">
      <w:pPr>
        <w:spacing w:line="360" w:lineRule="auto"/>
        <w:jc w:val="both"/>
        <w:rPr>
          <w:rFonts w:cs="Times New Roman"/>
          <w:b/>
          <w:bCs/>
          <w:color w:val="auto"/>
        </w:rPr>
      </w:pPr>
    </w:p>
    <w:p w:rsidR="001F2F65" w:rsidRPr="00FB30D2" w:rsidRDefault="001F2F65" w:rsidP="00FB30D2">
      <w:pPr>
        <w:spacing w:line="360" w:lineRule="auto"/>
        <w:jc w:val="both"/>
        <w:rPr>
          <w:rFonts w:cs="Times New Roman"/>
          <w:b/>
          <w:bCs/>
          <w:color w:val="auto"/>
        </w:rPr>
      </w:pPr>
    </w:p>
    <w:p w:rsidR="001F2F65" w:rsidRPr="00FB30D2" w:rsidRDefault="001F2F65" w:rsidP="00FB30D2">
      <w:pPr>
        <w:spacing w:line="360" w:lineRule="auto"/>
        <w:jc w:val="both"/>
        <w:rPr>
          <w:rFonts w:cs="Times New Roman"/>
          <w:b/>
          <w:bCs/>
          <w:color w:val="auto"/>
        </w:rPr>
      </w:pPr>
    </w:p>
    <w:p w:rsidR="001F2F65" w:rsidRPr="00FB30D2" w:rsidRDefault="001F2F65" w:rsidP="00FB30D2">
      <w:pPr>
        <w:spacing w:line="360" w:lineRule="auto"/>
        <w:jc w:val="both"/>
        <w:rPr>
          <w:rFonts w:cs="Times New Roman"/>
          <w:b/>
          <w:bCs/>
          <w:color w:val="auto"/>
        </w:rPr>
      </w:pPr>
    </w:p>
    <w:p w:rsidR="001F2F65" w:rsidRDefault="001F2F65" w:rsidP="00FB30D2">
      <w:pPr>
        <w:spacing w:line="360" w:lineRule="auto"/>
        <w:jc w:val="both"/>
        <w:rPr>
          <w:rFonts w:cs="Times New Roman"/>
          <w:b/>
          <w:bCs/>
          <w:color w:val="auto"/>
        </w:rPr>
      </w:pPr>
    </w:p>
    <w:p w:rsidR="00E477CC" w:rsidRDefault="00E477CC" w:rsidP="00FB30D2">
      <w:pPr>
        <w:spacing w:line="360" w:lineRule="auto"/>
        <w:jc w:val="both"/>
        <w:rPr>
          <w:rFonts w:cs="Times New Roman"/>
          <w:b/>
          <w:bCs/>
          <w:color w:val="auto"/>
        </w:rPr>
      </w:pPr>
    </w:p>
    <w:p w:rsidR="00E477CC" w:rsidRPr="00FB30D2" w:rsidRDefault="00E477CC" w:rsidP="00FB30D2">
      <w:pPr>
        <w:spacing w:line="360" w:lineRule="auto"/>
        <w:jc w:val="both"/>
        <w:rPr>
          <w:rFonts w:cs="Times New Roman"/>
          <w:b/>
          <w:bCs/>
          <w:color w:val="auto"/>
        </w:rPr>
      </w:pPr>
    </w:p>
    <w:p w:rsidR="001F2F65" w:rsidRPr="00FB30D2" w:rsidRDefault="001F2F65" w:rsidP="00FB30D2">
      <w:pPr>
        <w:spacing w:line="360" w:lineRule="auto"/>
        <w:jc w:val="both"/>
        <w:rPr>
          <w:rFonts w:cs="Times New Roman"/>
          <w:b/>
          <w:bCs/>
          <w:color w:val="auto"/>
        </w:rPr>
      </w:pPr>
    </w:p>
    <w:p w:rsidR="001F2F65" w:rsidRPr="00FB30D2" w:rsidRDefault="001F2F65" w:rsidP="00FB30D2">
      <w:pPr>
        <w:spacing w:line="360" w:lineRule="auto"/>
        <w:jc w:val="both"/>
        <w:rPr>
          <w:rFonts w:cs="Times New Roman"/>
          <w:b/>
          <w:bCs/>
          <w:color w:val="auto"/>
        </w:rPr>
      </w:pPr>
    </w:p>
    <w:p w:rsidR="00E91614" w:rsidRPr="00FB30D2" w:rsidRDefault="00E91614" w:rsidP="00FB30D2">
      <w:pPr>
        <w:spacing w:line="360" w:lineRule="auto"/>
        <w:jc w:val="both"/>
        <w:rPr>
          <w:rFonts w:cs="Times New Roman"/>
          <w:b/>
          <w:bCs/>
          <w:color w:val="auto"/>
        </w:rPr>
      </w:pPr>
    </w:p>
    <w:p w:rsidR="001F2F65" w:rsidRPr="00FB30D2" w:rsidRDefault="001F2F65" w:rsidP="00FB30D2">
      <w:pPr>
        <w:spacing w:line="360" w:lineRule="auto"/>
        <w:jc w:val="both"/>
        <w:rPr>
          <w:rFonts w:cs="Times New Roman"/>
          <w:b/>
          <w:bCs/>
          <w:color w:val="auto"/>
        </w:rPr>
      </w:pPr>
    </w:p>
    <w:p w:rsidR="001F2F65" w:rsidRPr="00FB30D2" w:rsidRDefault="00ED7B5A" w:rsidP="00FB30D2">
      <w:pPr>
        <w:spacing w:line="360" w:lineRule="auto"/>
        <w:jc w:val="both"/>
        <w:rPr>
          <w:rFonts w:cs="Times New Roman"/>
          <w:b/>
          <w:bCs/>
          <w:color w:val="auto"/>
        </w:rPr>
      </w:pPr>
      <w:r w:rsidRPr="00FB30D2">
        <w:rPr>
          <w:rFonts w:cs="Times New Roman"/>
          <w:b/>
          <w:bCs/>
          <w:color w:val="auto"/>
        </w:rPr>
        <w:t xml:space="preserve">Figura.4 Percorso terapeutico per pazienti con neoplasia colon-rettale accertata </w:t>
      </w:r>
    </w:p>
    <w:p w:rsidR="001F2F65" w:rsidRPr="00FB30D2" w:rsidRDefault="00ED7B5A" w:rsidP="00FB30D2">
      <w:pPr>
        <w:spacing w:after="200" w:line="360" w:lineRule="auto"/>
        <w:jc w:val="both"/>
        <w:rPr>
          <w:rFonts w:cs="Times New Roman"/>
          <w:color w:val="auto"/>
        </w:rPr>
      </w:pPr>
      <w:r w:rsidRPr="00FB30D2">
        <w:rPr>
          <w:rFonts w:cs="Times New Roman"/>
          <w:noProof/>
          <w:color w:val="auto"/>
        </w:rPr>
        <mc:AlternateContent>
          <mc:Choice Requires="wps">
            <w:drawing>
              <wp:anchor distT="0" distB="0" distL="0" distR="0" simplePos="0" relativeHeight="47" behindDoc="0" locked="0" layoutInCell="1" allowOverlap="1" wp14:anchorId="6C8FEC04">
                <wp:simplePos x="0" y="0"/>
                <wp:positionH relativeFrom="column">
                  <wp:posOffset>1582420</wp:posOffset>
                </wp:positionH>
                <wp:positionV relativeFrom="paragraph">
                  <wp:posOffset>5031105</wp:posOffset>
                </wp:positionV>
                <wp:extent cx="635" cy="473710"/>
                <wp:effectExtent l="63500" t="0" r="63500" b="34925"/>
                <wp:wrapNone/>
                <wp:docPr id="15" name="Shape 1073741921"/>
                <wp:cNvGraphicFramePr/>
                <a:graphic xmlns:a="http://schemas.openxmlformats.org/drawingml/2006/main">
                  <a:graphicData uri="http://schemas.microsoft.com/office/word/2010/wordprocessingShape">
                    <wps:wsp>
                      <wps:cNvCnPr/>
                      <wps:spPr>
                        <a:xfrm>
                          <a:off x="0" y="0"/>
                          <a:ext cx="0" cy="473040"/>
                        </a:xfrm>
                        <a:prstGeom prst="line">
                          <a:avLst/>
                        </a:prstGeom>
                        <a:ln w="28440">
                          <a:solidFill>
                            <a:srgbClr val="4A7EBB"/>
                          </a:solidFill>
                          <a:prstDash val="sysDash"/>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6pt,414.8pt" to="106pt,452pt" ID="Shape 1073741921" stroked="t" style="position:absolute" wp14:anchorId="6C8FEC04">
                <v:stroke color="#4a7ebb" weight="28440" dashstyle="longdash" endarrow="block" endarrowwidth="medium" endarrowlength="medium" joinstyle="round" endcap="flat"/>
                <v:fill o:detectmouseclick="t" on="false"/>
              </v:line>
            </w:pict>
          </mc:Fallback>
        </mc:AlternateContent>
      </w:r>
    </w:p>
    <w:p w:rsidR="001F2F65" w:rsidRPr="00FB30D2" w:rsidRDefault="00AE4A83" w:rsidP="00FB30D2">
      <w:pPr>
        <w:spacing w:after="200" w:line="360" w:lineRule="auto"/>
        <w:jc w:val="both"/>
        <w:rPr>
          <w:rFonts w:cs="Times New Roman"/>
          <w:color w:val="auto"/>
        </w:rPr>
      </w:pPr>
      <w:r w:rsidRPr="00FB30D2">
        <w:rPr>
          <w:rFonts w:cs="Times New Roman"/>
          <w:noProof/>
        </w:rPr>
        <w:drawing>
          <wp:inline distT="0" distB="0" distL="0" distR="0" wp14:anchorId="77C928C5" wp14:editId="7B2DF317">
            <wp:extent cx="6120130" cy="4993005"/>
            <wp:effectExtent l="0" t="0" r="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993005"/>
                    </a:xfrm>
                    <a:prstGeom prst="rect">
                      <a:avLst/>
                    </a:prstGeom>
                  </pic:spPr>
                </pic:pic>
              </a:graphicData>
            </a:graphic>
          </wp:inline>
        </w:drawing>
      </w:r>
    </w:p>
    <w:p w:rsidR="001F2F65" w:rsidRPr="00FB30D2" w:rsidRDefault="001F2F65" w:rsidP="00FB30D2">
      <w:pPr>
        <w:tabs>
          <w:tab w:val="left" w:pos="1055"/>
        </w:tabs>
        <w:spacing w:line="360" w:lineRule="auto"/>
        <w:jc w:val="both"/>
        <w:rPr>
          <w:rFonts w:cs="Times New Roman"/>
          <w:b/>
          <w:bCs/>
          <w:caps/>
          <w:color w:val="auto"/>
        </w:rPr>
      </w:pPr>
    </w:p>
    <w:p w:rsidR="001F2F65" w:rsidRPr="00FB30D2" w:rsidRDefault="001F2F65" w:rsidP="00FB30D2">
      <w:pPr>
        <w:tabs>
          <w:tab w:val="left" w:pos="1055"/>
        </w:tabs>
        <w:spacing w:line="360" w:lineRule="auto"/>
        <w:jc w:val="both"/>
        <w:rPr>
          <w:rFonts w:cs="Times New Roman"/>
          <w:b/>
          <w:bCs/>
          <w:caps/>
          <w:color w:val="auto"/>
        </w:rPr>
      </w:pPr>
    </w:p>
    <w:p w:rsidR="001F2F65" w:rsidRPr="00FB30D2" w:rsidRDefault="001F2F65" w:rsidP="00FB30D2">
      <w:pPr>
        <w:tabs>
          <w:tab w:val="left" w:pos="1055"/>
        </w:tabs>
        <w:spacing w:line="360" w:lineRule="auto"/>
        <w:jc w:val="both"/>
        <w:rPr>
          <w:rFonts w:cs="Times New Roman"/>
          <w:b/>
          <w:bCs/>
          <w:caps/>
          <w:color w:val="auto"/>
        </w:rPr>
      </w:pPr>
    </w:p>
    <w:p w:rsidR="00B47B78" w:rsidRPr="00FB30D2" w:rsidRDefault="00B47B78" w:rsidP="00FB30D2">
      <w:pPr>
        <w:tabs>
          <w:tab w:val="left" w:pos="1055"/>
        </w:tabs>
        <w:spacing w:line="360" w:lineRule="auto"/>
        <w:jc w:val="both"/>
        <w:rPr>
          <w:rFonts w:cs="Times New Roman"/>
          <w:b/>
          <w:bCs/>
          <w:caps/>
          <w:color w:val="auto"/>
        </w:rPr>
      </w:pPr>
    </w:p>
    <w:p w:rsidR="00FB30D2" w:rsidRPr="00FB30D2" w:rsidRDefault="00FB30D2" w:rsidP="00FB30D2">
      <w:pPr>
        <w:tabs>
          <w:tab w:val="left" w:pos="1055"/>
        </w:tabs>
        <w:spacing w:line="360" w:lineRule="auto"/>
        <w:jc w:val="both"/>
        <w:rPr>
          <w:rFonts w:cs="Times New Roman"/>
          <w:b/>
          <w:bCs/>
          <w:caps/>
          <w:color w:val="auto"/>
        </w:rPr>
      </w:pPr>
    </w:p>
    <w:p w:rsidR="00FB30D2" w:rsidRPr="00FB30D2" w:rsidRDefault="00FB30D2" w:rsidP="00FB30D2">
      <w:pPr>
        <w:tabs>
          <w:tab w:val="left" w:pos="1055"/>
        </w:tabs>
        <w:spacing w:line="360" w:lineRule="auto"/>
        <w:jc w:val="both"/>
        <w:rPr>
          <w:rFonts w:cs="Times New Roman"/>
          <w:b/>
          <w:bCs/>
          <w:caps/>
          <w:color w:val="auto"/>
        </w:rPr>
      </w:pPr>
    </w:p>
    <w:p w:rsidR="00FB30D2" w:rsidRPr="00FB30D2" w:rsidRDefault="00FB30D2" w:rsidP="00FB30D2">
      <w:pPr>
        <w:tabs>
          <w:tab w:val="left" w:pos="1055"/>
        </w:tabs>
        <w:spacing w:line="360" w:lineRule="auto"/>
        <w:jc w:val="both"/>
        <w:rPr>
          <w:rFonts w:cs="Times New Roman"/>
          <w:b/>
          <w:bCs/>
          <w:caps/>
          <w:color w:val="auto"/>
        </w:rPr>
      </w:pPr>
    </w:p>
    <w:p w:rsidR="00FB30D2" w:rsidRPr="00FB30D2" w:rsidRDefault="00FB30D2" w:rsidP="00FB30D2">
      <w:pPr>
        <w:tabs>
          <w:tab w:val="left" w:pos="1055"/>
        </w:tabs>
        <w:spacing w:line="360" w:lineRule="auto"/>
        <w:jc w:val="both"/>
        <w:rPr>
          <w:rFonts w:cs="Times New Roman"/>
          <w:b/>
          <w:bCs/>
          <w:caps/>
          <w:color w:val="auto"/>
        </w:rPr>
      </w:pPr>
    </w:p>
    <w:p w:rsidR="00FB30D2" w:rsidRPr="00FB30D2" w:rsidRDefault="00FB30D2" w:rsidP="00FB30D2">
      <w:pPr>
        <w:tabs>
          <w:tab w:val="left" w:pos="1055"/>
        </w:tabs>
        <w:spacing w:line="360" w:lineRule="auto"/>
        <w:jc w:val="both"/>
        <w:rPr>
          <w:rFonts w:cs="Times New Roman"/>
          <w:b/>
          <w:bCs/>
          <w:caps/>
          <w:color w:val="auto"/>
        </w:rPr>
      </w:pPr>
    </w:p>
    <w:p w:rsidR="00FB30D2" w:rsidRPr="00FB30D2" w:rsidRDefault="00FB30D2" w:rsidP="00FB30D2">
      <w:pPr>
        <w:tabs>
          <w:tab w:val="left" w:pos="1055"/>
        </w:tabs>
        <w:spacing w:line="360" w:lineRule="auto"/>
        <w:jc w:val="both"/>
        <w:rPr>
          <w:rFonts w:cs="Times New Roman"/>
          <w:b/>
          <w:bCs/>
          <w:caps/>
          <w:color w:val="auto"/>
        </w:rPr>
      </w:pPr>
    </w:p>
    <w:p w:rsidR="00B47B78" w:rsidRPr="00FB30D2" w:rsidRDefault="00B47B78" w:rsidP="00FB30D2">
      <w:pPr>
        <w:tabs>
          <w:tab w:val="left" w:pos="1055"/>
        </w:tabs>
        <w:spacing w:line="360" w:lineRule="auto"/>
        <w:jc w:val="both"/>
        <w:rPr>
          <w:rFonts w:cs="Times New Roman"/>
          <w:b/>
          <w:bCs/>
          <w:caps/>
          <w:color w:val="auto"/>
        </w:rPr>
      </w:pPr>
    </w:p>
    <w:p w:rsidR="00B47B78" w:rsidRPr="00FB30D2" w:rsidRDefault="00B47B78" w:rsidP="00FB30D2">
      <w:pPr>
        <w:tabs>
          <w:tab w:val="left" w:pos="1055"/>
        </w:tabs>
        <w:spacing w:line="360" w:lineRule="auto"/>
        <w:jc w:val="both"/>
        <w:rPr>
          <w:rFonts w:cs="Times New Roman"/>
          <w:b/>
          <w:bCs/>
          <w:caps/>
          <w:color w:val="auto"/>
        </w:rPr>
      </w:pPr>
    </w:p>
    <w:p w:rsidR="00D269F8" w:rsidRPr="00FB30D2" w:rsidRDefault="00D269F8" w:rsidP="00FB30D2">
      <w:pPr>
        <w:tabs>
          <w:tab w:val="left" w:pos="1055"/>
        </w:tabs>
        <w:spacing w:line="360" w:lineRule="auto"/>
        <w:jc w:val="both"/>
        <w:rPr>
          <w:rFonts w:cs="Times New Roman"/>
          <w:b/>
          <w:bCs/>
          <w:caps/>
          <w:color w:val="auto"/>
        </w:rPr>
      </w:pPr>
      <w:r w:rsidRPr="00FB30D2">
        <w:rPr>
          <w:rFonts w:cs="Times New Roman"/>
          <w:b/>
          <w:bCs/>
          <w:caps/>
          <w:color w:val="auto"/>
        </w:rPr>
        <w:t>Follow-up per pazienti con pregressa neoplasia colon-rettale</w:t>
      </w:r>
    </w:p>
    <w:p w:rsidR="00D269F8" w:rsidRPr="00FB30D2" w:rsidRDefault="00D269F8" w:rsidP="00FB30D2">
      <w:pPr>
        <w:tabs>
          <w:tab w:val="left" w:pos="1055"/>
        </w:tabs>
        <w:spacing w:line="360" w:lineRule="auto"/>
        <w:jc w:val="both"/>
        <w:rPr>
          <w:rFonts w:cs="Times New Roman"/>
          <w:color w:val="auto"/>
        </w:rPr>
      </w:pPr>
    </w:p>
    <w:p w:rsidR="00D269F8" w:rsidRPr="00FB30D2" w:rsidRDefault="00D269F8" w:rsidP="00FB30D2">
      <w:pPr>
        <w:spacing w:after="200" w:line="360" w:lineRule="auto"/>
        <w:jc w:val="both"/>
        <w:rPr>
          <w:rFonts w:cs="Times New Roman"/>
          <w:color w:val="auto"/>
        </w:rPr>
      </w:pPr>
      <w:r w:rsidRPr="00FB30D2">
        <w:rPr>
          <w:rFonts w:cs="Times New Roman"/>
          <w:color w:val="auto"/>
        </w:rPr>
        <w:t>Nei pazienti con neoplasia colon-rettale sottoposti a trattamento curativo con chirurgia o ad approccio multimodale (radioterapia e/o chemioterapia, chirurgia), è indicato un follow-up oncologico.  Poiché circa l’80% delle ricadute di malattia avviene entro i 3 anni dalla chirurgia e il 95% entro i 5 anni, la durata complessiva del programma di follow up dovrà essere di 5 anni e le tempistiche dei controlli dovranno essere ogni 3-6 mesi per i primi 3 anni e ogni 6 mesi nei due anni successivi. In particolare nei pazienti con stadio I in considerazione del rischio di ricaduta estremamente limitato (oltre il 95% dei casi è destinato alla guarigione con la sola chirurgia), è ragionevole attuare una sorveglianza con soli esami endoscopici o al massimo in casi particolari con una TAC torace e addome con mezzo di contrasto annuale nei primi tre anni.</w:t>
      </w:r>
    </w:p>
    <w:p w:rsidR="00D269F8" w:rsidRPr="00FB30D2" w:rsidRDefault="00D269F8" w:rsidP="00FB30D2">
      <w:pPr>
        <w:spacing w:line="360" w:lineRule="auto"/>
        <w:jc w:val="both"/>
        <w:rPr>
          <w:rFonts w:cs="Times New Roman"/>
          <w:color w:val="auto"/>
        </w:rPr>
      </w:pPr>
      <w:r w:rsidRPr="00FB30D2">
        <w:rPr>
          <w:rFonts w:cs="Times New Roman"/>
          <w:color w:val="auto"/>
        </w:rPr>
        <w:t>Nei pazienti con stadio II e III dovrebbe essere eseguita una TAC torace e addome con mezzo di contrasto, con l’aggiunta di una RMN pelvi nei tumori del retto, e la valutazione del CEA ogni 3-6 mesi nei primi tre anni e ogni 6-12 mesi nei due anni successivi in funzione dell’entità del rischio di ricaduta. PET solo in casi dubbi alla diagnostica radiologica.</w:t>
      </w:r>
    </w:p>
    <w:p w:rsidR="00D269F8" w:rsidRPr="00FB30D2" w:rsidRDefault="00D269F8" w:rsidP="00FB30D2">
      <w:pPr>
        <w:spacing w:line="360" w:lineRule="auto"/>
        <w:jc w:val="both"/>
        <w:rPr>
          <w:rFonts w:cs="Times New Roman"/>
          <w:color w:val="auto"/>
        </w:rPr>
      </w:pPr>
      <w:r w:rsidRPr="00FB30D2">
        <w:rPr>
          <w:rFonts w:cs="Times New Roman"/>
          <w:color w:val="auto"/>
        </w:rPr>
        <w:t>Nei pazienti sottoposti a metastasectomia il follow up dovrebbe essere eseguito con una TAC torace e addome con mezzo di contrasto ogni 3-6 mesi per i primi 2 anni e successivamente ogni 6-12 mesi fino al quinto anno.</w:t>
      </w:r>
    </w:p>
    <w:p w:rsidR="00D269F8" w:rsidRPr="00FB30D2" w:rsidRDefault="00D269F8" w:rsidP="00FB30D2">
      <w:pPr>
        <w:spacing w:line="360" w:lineRule="auto"/>
        <w:jc w:val="both"/>
        <w:rPr>
          <w:rFonts w:cs="Times New Roman"/>
          <w:color w:val="auto"/>
        </w:rPr>
      </w:pPr>
      <w:r w:rsidRPr="00FB30D2">
        <w:rPr>
          <w:rFonts w:cs="Times New Roman"/>
          <w:color w:val="auto"/>
        </w:rPr>
        <w:t>L’esame endoscopico del colon-retto dovrebbe essere eseguito entro 6-8 mesi dall’intervento nei pazienti senza uno studio preoperatorio, altrimenti dopo 1 anno dall’intervento. In caso di intestino indenne da lesioni successivamente dovrebbe essere eseguito dopo 3 anni e se confermata l’assenza di lesioni dopo 5 anni.</w:t>
      </w:r>
    </w:p>
    <w:p w:rsidR="00D269F8" w:rsidRPr="00FB30D2" w:rsidRDefault="00D269F8" w:rsidP="00FB30D2">
      <w:pPr>
        <w:spacing w:line="360" w:lineRule="auto"/>
        <w:jc w:val="both"/>
        <w:rPr>
          <w:rFonts w:cs="Times New Roman"/>
          <w:color w:val="auto"/>
        </w:rPr>
      </w:pPr>
      <w:r w:rsidRPr="00FB30D2">
        <w:rPr>
          <w:rFonts w:cs="Times New Roman"/>
          <w:color w:val="auto"/>
        </w:rPr>
        <w:t>I pazienti che abbiano subito un intervento di resezione anteriore bassa per tumore del retto in assenza di radioterapia dovrebbero essere controllati con un programma di sorveglianza più stretto che preveda almeno per i primi due anni un esame endoscopico ogni sei mesi.</w:t>
      </w:r>
    </w:p>
    <w:p w:rsidR="00D269F8" w:rsidRPr="00FB30D2" w:rsidRDefault="00D269F8" w:rsidP="00FB30D2">
      <w:pPr>
        <w:spacing w:line="360" w:lineRule="auto"/>
        <w:jc w:val="both"/>
        <w:rPr>
          <w:rFonts w:cs="Times New Roman"/>
          <w:color w:val="auto"/>
        </w:rPr>
      </w:pPr>
      <w:r w:rsidRPr="00FB30D2">
        <w:rPr>
          <w:rFonts w:cs="Times New Roman"/>
          <w:color w:val="auto"/>
        </w:rPr>
        <w:t>Infine è bene sottolineare la necessità di non trascurare i consueti programmi di screening nella popolazione con una pregressa diagnosi di carcinoma del colon-retto.</w:t>
      </w:r>
    </w:p>
    <w:p w:rsidR="00D269F8" w:rsidRPr="00FB30D2" w:rsidRDefault="00D269F8" w:rsidP="00FB30D2">
      <w:pPr>
        <w:spacing w:line="360" w:lineRule="auto"/>
        <w:jc w:val="both"/>
        <w:rPr>
          <w:rFonts w:cs="Times New Roman"/>
          <w:color w:val="auto"/>
        </w:rPr>
      </w:pPr>
    </w:p>
    <w:p w:rsidR="00D269F8" w:rsidRPr="00FB30D2" w:rsidRDefault="00D269F8" w:rsidP="00FB30D2">
      <w:pPr>
        <w:pStyle w:val="Pa1"/>
        <w:spacing w:after="120" w:line="360" w:lineRule="auto"/>
        <w:jc w:val="both"/>
        <w:rPr>
          <w:rFonts w:ascii="Times New Roman" w:hAnsi="Times New Roman" w:cs="Times New Roman"/>
          <w:b/>
          <w:bCs/>
        </w:rPr>
      </w:pPr>
    </w:p>
    <w:p w:rsidR="00B47B78" w:rsidRPr="00FB30D2" w:rsidRDefault="00B47B78" w:rsidP="00FB30D2">
      <w:pPr>
        <w:spacing w:line="360" w:lineRule="auto"/>
        <w:jc w:val="both"/>
        <w:rPr>
          <w:rFonts w:cs="Times New Roman"/>
        </w:rPr>
      </w:pPr>
    </w:p>
    <w:p w:rsidR="00B47B78" w:rsidRPr="00FB30D2" w:rsidRDefault="00B47B78" w:rsidP="00FB30D2">
      <w:pPr>
        <w:spacing w:line="360" w:lineRule="auto"/>
        <w:jc w:val="both"/>
        <w:rPr>
          <w:rFonts w:cs="Times New Roman"/>
        </w:rPr>
      </w:pPr>
    </w:p>
    <w:p w:rsidR="00B47B78" w:rsidRPr="00FB30D2" w:rsidRDefault="00B47B78" w:rsidP="00FB30D2">
      <w:pPr>
        <w:spacing w:line="360" w:lineRule="auto"/>
        <w:jc w:val="both"/>
        <w:rPr>
          <w:rFonts w:cs="Times New Roman"/>
        </w:rPr>
      </w:pPr>
    </w:p>
    <w:p w:rsidR="00B47B78" w:rsidRPr="00FB30D2" w:rsidRDefault="00B47B78" w:rsidP="00FB30D2">
      <w:pPr>
        <w:spacing w:line="360" w:lineRule="auto"/>
        <w:jc w:val="both"/>
        <w:rPr>
          <w:rFonts w:cs="Times New Roman"/>
        </w:rPr>
      </w:pPr>
    </w:p>
    <w:p w:rsidR="00B47B78" w:rsidRPr="00FB30D2" w:rsidRDefault="00B47B78" w:rsidP="00FB30D2">
      <w:pPr>
        <w:spacing w:line="360" w:lineRule="auto"/>
        <w:jc w:val="both"/>
        <w:rPr>
          <w:rFonts w:cs="Times New Roman"/>
        </w:rPr>
      </w:pPr>
    </w:p>
    <w:p w:rsidR="00B47B78" w:rsidRPr="00FB30D2" w:rsidRDefault="00B47B78" w:rsidP="00FB30D2">
      <w:pPr>
        <w:spacing w:line="360" w:lineRule="auto"/>
        <w:jc w:val="both"/>
        <w:rPr>
          <w:rFonts w:cs="Times New Roman"/>
        </w:rPr>
      </w:pPr>
    </w:p>
    <w:p w:rsidR="00B47B78" w:rsidRPr="00FB30D2" w:rsidRDefault="00B47B78" w:rsidP="00FB30D2">
      <w:pPr>
        <w:spacing w:line="360" w:lineRule="auto"/>
        <w:jc w:val="both"/>
        <w:rPr>
          <w:rFonts w:cs="Times New Roman"/>
        </w:rPr>
      </w:pPr>
    </w:p>
    <w:p w:rsidR="005C71B0" w:rsidRPr="00FB30D2" w:rsidRDefault="005C71B0" w:rsidP="00FB30D2">
      <w:pPr>
        <w:pStyle w:val="Pa1"/>
        <w:spacing w:after="120" w:line="360" w:lineRule="auto"/>
        <w:jc w:val="both"/>
        <w:rPr>
          <w:rFonts w:ascii="Times New Roman" w:hAnsi="Times New Roman" w:cs="Times New Roman"/>
          <w:color w:val="000000"/>
        </w:rPr>
      </w:pPr>
      <w:r w:rsidRPr="00FB30D2">
        <w:rPr>
          <w:rFonts w:ascii="Times New Roman" w:hAnsi="Times New Roman" w:cs="Times New Roman"/>
          <w:b/>
          <w:bCs/>
          <w:color w:val="000000"/>
        </w:rPr>
        <w:t>CURE PALLIATIVE</w:t>
      </w:r>
    </w:p>
    <w:p w:rsidR="005C71B0" w:rsidRPr="00FB30D2" w:rsidRDefault="005C71B0" w:rsidP="00FB30D2">
      <w:pPr>
        <w:spacing w:line="360" w:lineRule="auto"/>
        <w:jc w:val="both"/>
        <w:rPr>
          <w:rFonts w:eastAsia="Times New Roman" w:cs="Times New Roman"/>
        </w:rPr>
      </w:pPr>
      <w:r w:rsidRPr="00FB30D2">
        <w:rPr>
          <w:rFonts w:eastAsia="Times New Roman" w:cs="Times New Roman"/>
        </w:rPr>
        <w:t xml:space="preserve">La attivazione dei percorsi di cure palliative non è riservata esclusivamente ai pazienti in fase di terminalità. Il sistema della ROC intende seguire il modello della simultaneous care con la collaborazione delle 7 ASL. È opportuno che tale attività sia svolta da un team cross-funzionale, costituito da oncologo medico, terapista del dolore in collaborazione con i servizi Cure Palliative, competenti territorialmente in base alla residenza del paziente e della famiglia. Tali percorsi sono attivabili attraverso la piattaforma ROC.  </w:t>
      </w:r>
    </w:p>
    <w:p w:rsidR="005C71B0" w:rsidRPr="00FB30D2" w:rsidRDefault="005C71B0" w:rsidP="00FB30D2">
      <w:pPr>
        <w:adjustRightInd w:val="0"/>
        <w:spacing w:line="360" w:lineRule="auto"/>
        <w:jc w:val="both"/>
        <w:rPr>
          <w:rFonts w:eastAsia="Times New Roman" w:cs="Times New Roman"/>
        </w:rPr>
      </w:pPr>
      <w:r w:rsidRPr="00FB30D2">
        <w:rPr>
          <w:rFonts w:eastAsia="Times New Roman" w:cs="Times New Roman"/>
        </w:rP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cross-funzionale, costituito da oncologo medico, terapista del dolore ed attivare i servizi Cure Palliative, competenti territorialmente in base alla residenza del paziente e della famiglia attraverso la piattaforma ROC, per istruire l’iter di cure versus dolore e palliazione da terminalità.</w:t>
      </w:r>
    </w:p>
    <w:p w:rsidR="005C71B0" w:rsidRPr="00FB30D2" w:rsidRDefault="005C71B0" w:rsidP="00FB30D2">
      <w:pPr>
        <w:spacing w:line="360" w:lineRule="auto"/>
        <w:jc w:val="both"/>
        <w:rPr>
          <w:rFonts w:eastAsia="Times New Roman" w:cs="Times New Roman"/>
        </w:rPr>
      </w:pPr>
      <w:r w:rsidRPr="00FB30D2">
        <w:rPr>
          <w:rFonts w:eastAsia="Times New Roman" w:cs="Times New Roman"/>
        </w:rPr>
        <w:t>I criteri generali per la definizione di malattia terminale sono:</w:t>
      </w:r>
    </w:p>
    <w:p w:rsidR="005C71B0" w:rsidRPr="00FB30D2" w:rsidRDefault="005C71B0" w:rsidP="00FB30D2">
      <w:pPr>
        <w:numPr>
          <w:ilvl w:val="0"/>
          <w:numId w:val="22"/>
        </w:numPr>
        <w:spacing w:line="360" w:lineRule="auto"/>
        <w:jc w:val="both"/>
        <w:rPr>
          <w:rFonts w:eastAsia="Times New Roman" w:cs="Times New Roman"/>
        </w:rPr>
      </w:pPr>
      <w:r w:rsidRPr="00FB30D2">
        <w:rPr>
          <w:rFonts w:eastAsia="Times New Roman" w:cs="Times New Roman"/>
        </w:rPr>
        <w:t>Terapeutico: esaurimento/assenza o inutilità delle terapie oncologiche per la cura del tumore, o rifiuto da parte del malato.</w:t>
      </w:r>
    </w:p>
    <w:p w:rsidR="005C71B0" w:rsidRPr="00FB30D2" w:rsidRDefault="005C71B0" w:rsidP="00FB30D2">
      <w:pPr>
        <w:numPr>
          <w:ilvl w:val="0"/>
          <w:numId w:val="22"/>
        </w:numPr>
        <w:spacing w:line="360" w:lineRule="auto"/>
        <w:jc w:val="both"/>
        <w:rPr>
          <w:rFonts w:eastAsia="Times New Roman" w:cs="Times New Roman"/>
        </w:rPr>
      </w:pPr>
      <w:r w:rsidRPr="00FB30D2">
        <w:rPr>
          <w:rFonts w:eastAsia="Times New Roman" w:cs="Times New Roman"/>
        </w:rPr>
        <w:t>Clinico: presenza di un quadro clinico che comporta limitazioni dell’autonomia e un frequente bisogno di cure mediche, caratterizzato da un Indice di Karnofsky &lt; 50.</w:t>
      </w:r>
    </w:p>
    <w:p w:rsidR="005C71B0" w:rsidRPr="00FB30D2" w:rsidRDefault="005C71B0" w:rsidP="00FB30D2">
      <w:pPr>
        <w:numPr>
          <w:ilvl w:val="0"/>
          <w:numId w:val="22"/>
        </w:numPr>
        <w:spacing w:line="360" w:lineRule="auto"/>
        <w:jc w:val="both"/>
        <w:rPr>
          <w:rFonts w:eastAsia="Times New Roman" w:cs="Times New Roman"/>
        </w:rPr>
      </w:pPr>
      <w:r w:rsidRPr="00FB30D2">
        <w:rPr>
          <w:rFonts w:eastAsia="Times New Roman" w:cs="Times New Roman"/>
        </w:rPr>
        <w:t>Prognostico: previsione di sopravvivenza &lt; 6 mesi</w:t>
      </w:r>
    </w:p>
    <w:p w:rsidR="005C71B0" w:rsidRPr="00FB30D2" w:rsidRDefault="005C71B0" w:rsidP="00FB30D2">
      <w:pPr>
        <w:spacing w:line="360" w:lineRule="auto"/>
        <w:jc w:val="both"/>
        <w:rPr>
          <w:rFonts w:eastAsia="Times New Roman" w:cs="Times New Roman"/>
        </w:rPr>
      </w:pPr>
      <w:r w:rsidRPr="00FB30D2">
        <w:rPr>
          <w:rFonts w:eastAsia="Times New Roman" w:cs="Times New Roman"/>
        </w:rPr>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residenziale.  </w:t>
      </w:r>
    </w:p>
    <w:p w:rsidR="005C71B0" w:rsidRPr="00FB30D2" w:rsidRDefault="005C71B0" w:rsidP="00FB30D2">
      <w:pPr>
        <w:spacing w:line="360" w:lineRule="auto"/>
        <w:jc w:val="both"/>
        <w:rPr>
          <w:rFonts w:eastAsia="Times New Roman" w:cs="Times New Roman"/>
        </w:rPr>
      </w:pPr>
      <w:r w:rsidRPr="00FB30D2">
        <w:rPr>
          <w:rFonts w:eastAsia="Times New Roman" w:cs="Times New Roman"/>
        </w:rPr>
        <w:t xml:space="preserve">Per il presente PDTA si è tenuto conto delle più recenti linee guida nazionali (AIOM) ed </w:t>
      </w:r>
    </w:p>
    <w:p w:rsidR="005C71B0" w:rsidRPr="00FB30D2" w:rsidRDefault="005C71B0" w:rsidP="00FB30D2">
      <w:pPr>
        <w:spacing w:line="360" w:lineRule="auto"/>
        <w:jc w:val="both"/>
        <w:rPr>
          <w:rFonts w:eastAsia="Times New Roman" w:cs="Times New Roman"/>
        </w:rPr>
      </w:pPr>
      <w:r w:rsidRPr="00FB30D2">
        <w:rPr>
          <w:rFonts w:eastAsia="Times New Roman" w:cs="Times New Roman"/>
        </w:rPr>
        <w:t>Internazionali (ESMO, NCCN).</w:t>
      </w:r>
    </w:p>
    <w:p w:rsidR="00B47B78" w:rsidRPr="00FB30D2" w:rsidRDefault="00B47B78" w:rsidP="00FB30D2">
      <w:pPr>
        <w:spacing w:line="360" w:lineRule="auto"/>
        <w:jc w:val="both"/>
        <w:rPr>
          <w:rFonts w:eastAsia="Times New Roman" w:cs="Times New Roman"/>
        </w:rPr>
      </w:pPr>
    </w:p>
    <w:p w:rsidR="00B47B78" w:rsidRPr="00FB30D2" w:rsidRDefault="00B47B78" w:rsidP="00FB30D2">
      <w:pPr>
        <w:spacing w:line="360" w:lineRule="auto"/>
        <w:jc w:val="both"/>
        <w:rPr>
          <w:rFonts w:eastAsia="Times New Roman" w:cs="Times New Roman"/>
        </w:rPr>
      </w:pPr>
    </w:p>
    <w:p w:rsidR="00B47B78" w:rsidRDefault="00B47B78" w:rsidP="00FB30D2">
      <w:pPr>
        <w:spacing w:line="360" w:lineRule="auto"/>
        <w:jc w:val="both"/>
        <w:rPr>
          <w:rFonts w:eastAsia="Times New Roman" w:cs="Times New Roman"/>
        </w:rPr>
      </w:pPr>
    </w:p>
    <w:p w:rsidR="00FB30D2" w:rsidRDefault="00FB30D2" w:rsidP="00FB30D2">
      <w:pPr>
        <w:spacing w:line="360" w:lineRule="auto"/>
        <w:jc w:val="both"/>
        <w:rPr>
          <w:rFonts w:eastAsia="Times New Roman" w:cs="Times New Roman"/>
        </w:rPr>
      </w:pPr>
    </w:p>
    <w:p w:rsidR="00FB30D2" w:rsidRPr="00FB30D2" w:rsidRDefault="00FB30D2" w:rsidP="00FB30D2">
      <w:pPr>
        <w:spacing w:line="360" w:lineRule="auto"/>
        <w:jc w:val="both"/>
        <w:rPr>
          <w:rFonts w:eastAsia="Times New Roman" w:cs="Times New Roman"/>
        </w:rPr>
      </w:pPr>
    </w:p>
    <w:p w:rsidR="001F2F65" w:rsidRPr="00FB30D2" w:rsidRDefault="001F2F65" w:rsidP="00FB30D2">
      <w:pPr>
        <w:tabs>
          <w:tab w:val="left" w:pos="1055"/>
        </w:tabs>
        <w:spacing w:line="360" w:lineRule="auto"/>
        <w:jc w:val="both"/>
        <w:rPr>
          <w:rFonts w:cs="Times New Roman"/>
          <w:b/>
          <w:bCs/>
          <w:caps/>
          <w:color w:val="auto"/>
        </w:rPr>
      </w:pPr>
    </w:p>
    <w:p w:rsidR="00FB30D2" w:rsidRPr="00FB30D2" w:rsidRDefault="00FB30D2" w:rsidP="00FB30D2">
      <w:pPr>
        <w:tabs>
          <w:tab w:val="left" w:pos="1055"/>
        </w:tabs>
        <w:spacing w:line="360" w:lineRule="auto"/>
        <w:jc w:val="both"/>
        <w:rPr>
          <w:rFonts w:cs="Times New Roman"/>
          <w:b/>
        </w:rPr>
      </w:pPr>
      <w:r w:rsidRPr="00FB30D2">
        <w:rPr>
          <w:rFonts w:cs="Times New Roman"/>
          <w:b/>
        </w:rPr>
        <w:t>Attivazione Hospice - piattaforma ROC</w:t>
      </w:r>
    </w:p>
    <w:p w:rsidR="00FB30D2" w:rsidRPr="00FB30D2" w:rsidRDefault="00FB30D2" w:rsidP="00FB30D2">
      <w:pPr>
        <w:tabs>
          <w:tab w:val="left" w:pos="1055"/>
        </w:tabs>
        <w:spacing w:line="360" w:lineRule="auto"/>
        <w:jc w:val="both"/>
        <w:rPr>
          <w:rFonts w:cs="Times New Roman"/>
          <w:b/>
        </w:rPr>
      </w:pPr>
    </w:p>
    <w:p w:rsidR="00FB30D2" w:rsidRPr="00FB30D2" w:rsidRDefault="00FB30D2" w:rsidP="00FB30D2">
      <w:pPr>
        <w:spacing w:line="360" w:lineRule="auto"/>
        <w:jc w:val="both"/>
        <w:rPr>
          <w:rFonts w:eastAsia="Times New Roman" w:cs="Times New Roman"/>
        </w:rPr>
      </w:pPr>
      <w:r w:rsidRPr="00FB30D2">
        <w:rPr>
          <w:rFonts w:eastAsia="Calibri" w:cs="Times New Roman"/>
          <w:lang w:eastAsia="en-US"/>
        </w:rPr>
        <w:t xml:space="preserve">Il case manager su indicazione medica può richiedere l’attivazione dell’Hospice tramite la piattaforma ROC.  La richiesta è rivolta non solo ai pazienti in ricovero ordinario ma anche ai pazienti day hospital ed ambulatoriali. </w:t>
      </w:r>
      <w:r w:rsidRPr="00FB30D2">
        <w:rPr>
          <w:rFonts w:eastAsia="Times New Roman" w:cs="Times New Roman"/>
        </w:rPr>
        <w:t>La richiesta viene valutata e confermata dal Centro delle Cure palliative dell’ASL del paziente così da procedere entro 48 ore successive al ricovero presso un Hospice pubblico o convenzionato della stessa ASL. In caso in cui non c’è disponibilità di Hospice nell’ASL del paziente, l’ASL si fa carico del paziente ed entro 48 ore successive programma il ricovero presso un Hospice pubblico o convenzionato di un’altra ASL.</w:t>
      </w:r>
      <w:r w:rsidRPr="00FB30D2">
        <w:rPr>
          <w:rFonts w:eastAsia="Calibri" w:cs="Times New Roman"/>
          <w:lang w:eastAsia="en-US"/>
        </w:rPr>
        <w:t xml:space="preserve"> </w:t>
      </w:r>
      <w:r w:rsidRPr="00FB30D2">
        <w:rPr>
          <w:rFonts w:eastAsia="Times New Roman" w:cs="Times New Roman"/>
        </w:rPr>
        <w:t xml:space="preserve"> </w:t>
      </w: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eastAsia="Calibri" w:cs="Times New Roman"/>
          <w:lang w:eastAsia="en-US"/>
        </w:rPr>
      </w:pPr>
      <w:r w:rsidRPr="00FB30D2">
        <w:rPr>
          <w:rFonts w:cs="Times New Roman"/>
          <w:noProof/>
        </w:rPr>
        <w:drawing>
          <wp:inline distT="0" distB="0" distL="0" distR="0" wp14:anchorId="16CACF4F" wp14:editId="7D7FB54E">
            <wp:extent cx="6120130" cy="437134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371340"/>
                    </a:xfrm>
                    <a:prstGeom prst="rect">
                      <a:avLst/>
                    </a:prstGeom>
                  </pic:spPr>
                </pic:pic>
              </a:graphicData>
            </a:graphic>
          </wp:inline>
        </w:drawing>
      </w:r>
    </w:p>
    <w:p w:rsidR="00E91614" w:rsidRPr="00FB30D2" w:rsidRDefault="00E91614" w:rsidP="00FB30D2">
      <w:pPr>
        <w:spacing w:line="360" w:lineRule="auto"/>
        <w:jc w:val="both"/>
        <w:rPr>
          <w:rFonts w:cs="Times New Roman"/>
          <w:b/>
        </w:rPr>
      </w:pPr>
    </w:p>
    <w:p w:rsidR="00E91614" w:rsidRPr="00FB30D2" w:rsidRDefault="00E91614" w:rsidP="00FB30D2">
      <w:pPr>
        <w:spacing w:line="360" w:lineRule="auto"/>
        <w:jc w:val="both"/>
        <w:rPr>
          <w:rFonts w:cs="Times New Roman"/>
          <w:b/>
        </w:rPr>
      </w:pPr>
    </w:p>
    <w:p w:rsidR="00E91614" w:rsidRPr="00FB30D2" w:rsidRDefault="00E91614" w:rsidP="00FB30D2">
      <w:pPr>
        <w:spacing w:line="360" w:lineRule="auto"/>
        <w:jc w:val="both"/>
        <w:rPr>
          <w:rFonts w:cs="Times New Roman"/>
          <w:b/>
        </w:rPr>
      </w:pPr>
    </w:p>
    <w:p w:rsidR="00B47B78" w:rsidRPr="00FB30D2" w:rsidRDefault="00B47B78" w:rsidP="00FB30D2">
      <w:pPr>
        <w:spacing w:line="360" w:lineRule="auto"/>
        <w:jc w:val="both"/>
        <w:rPr>
          <w:rFonts w:cs="Times New Roman"/>
          <w:b/>
        </w:rPr>
      </w:pPr>
    </w:p>
    <w:p w:rsidR="00B47B78" w:rsidRPr="00FB30D2" w:rsidRDefault="00B47B78" w:rsidP="00FB30D2">
      <w:pPr>
        <w:spacing w:line="360" w:lineRule="auto"/>
        <w:jc w:val="both"/>
        <w:rPr>
          <w:rFonts w:cs="Times New Roman"/>
          <w:b/>
        </w:rPr>
      </w:pPr>
    </w:p>
    <w:p w:rsidR="00FB30D2" w:rsidRPr="00FB30D2" w:rsidRDefault="00FB30D2" w:rsidP="00FB30D2">
      <w:pPr>
        <w:spacing w:line="360" w:lineRule="auto"/>
        <w:jc w:val="both"/>
        <w:rPr>
          <w:rFonts w:cs="Times New Roman"/>
          <w:b/>
        </w:rPr>
      </w:pPr>
    </w:p>
    <w:p w:rsidR="00B47B78" w:rsidRPr="00FB30D2" w:rsidRDefault="00B47B78" w:rsidP="00FB30D2">
      <w:pPr>
        <w:spacing w:line="360" w:lineRule="auto"/>
        <w:jc w:val="both"/>
        <w:rPr>
          <w:rFonts w:cs="Times New Roman"/>
          <w:b/>
        </w:rPr>
      </w:pPr>
    </w:p>
    <w:p w:rsidR="00FB30D2" w:rsidRPr="00FB30D2" w:rsidRDefault="00FB30D2" w:rsidP="00FB30D2">
      <w:pPr>
        <w:tabs>
          <w:tab w:val="left" w:pos="1055"/>
        </w:tabs>
        <w:spacing w:line="360" w:lineRule="auto"/>
        <w:jc w:val="both"/>
        <w:rPr>
          <w:rFonts w:eastAsia="Times New Roman" w:cs="Times New Roman"/>
          <w:b/>
        </w:rPr>
      </w:pPr>
      <w:r w:rsidRPr="00FB30D2">
        <w:rPr>
          <w:rFonts w:eastAsia="Times New Roman" w:cs="Times New Roman"/>
          <w:b/>
        </w:rPr>
        <w:t>Procedura generale di funzionamento dei GOM</w:t>
      </w:r>
    </w:p>
    <w:p w:rsidR="00FB30D2" w:rsidRPr="00FB30D2" w:rsidRDefault="00FB30D2" w:rsidP="00FB30D2">
      <w:pPr>
        <w:spacing w:line="360" w:lineRule="auto"/>
        <w:ind w:right="226"/>
        <w:jc w:val="both"/>
        <w:rPr>
          <w:rFonts w:eastAsia="Calibri" w:cs="Times New Roman"/>
          <w:lang w:eastAsia="en-US"/>
        </w:rPr>
      </w:pPr>
      <w:r w:rsidRPr="00FB30D2">
        <w:rPr>
          <w:rFonts w:eastAsia="Times New Roman" w:cs="Times New Roman"/>
          <w:b/>
        </w:rPr>
        <w:t>Le attività del GOM</w:t>
      </w:r>
      <w:r w:rsidRPr="00FB30D2">
        <w:rPr>
          <w:rFonts w:eastAsia="Calibri" w:cs="Times New Roman"/>
          <w:lang w:eastAsia="en-US"/>
        </w:rPr>
        <w:tab/>
      </w:r>
    </w:p>
    <w:p w:rsidR="00FB30D2" w:rsidRPr="00FB30D2" w:rsidRDefault="00FB30D2" w:rsidP="00FB30D2">
      <w:pPr>
        <w:spacing w:line="360" w:lineRule="auto"/>
        <w:ind w:right="226"/>
        <w:jc w:val="both"/>
        <w:rPr>
          <w:rFonts w:eastAsia="Calibri" w:cs="Times New Roman"/>
          <w:lang w:eastAsia="en-US"/>
        </w:rPr>
      </w:pPr>
      <w:r w:rsidRPr="00FB30D2">
        <w:rPr>
          <w:rFonts w:eastAsia="Calibri" w:cs="Times New Roman"/>
          <w:lang w:eastAsia="en-US"/>
        </w:rPr>
        <w:t xml:space="preserve">Le attività del GOM si basano sul principio della multidisciplinarietà ovvero quella di prevedere fin dall’inizio del percorso assistenziale il coinvolgimento di tutte le figure professionali competenti per quella patologia In tal modo è possibile attuare una piena sinergia tra gli operatori, volta a definire in modo coordinato ed in un tempo unico il percorso ottimale per ogni singolo paziente. </w:t>
      </w:r>
    </w:p>
    <w:p w:rsidR="00801E05" w:rsidRPr="005304D8" w:rsidRDefault="00FB30D2" w:rsidP="00801E05">
      <w:pPr>
        <w:spacing w:line="360" w:lineRule="auto"/>
        <w:jc w:val="both"/>
        <w:rPr>
          <w:rFonts w:cs="Times New Roman"/>
          <w:lang w:eastAsia="en-US"/>
        </w:rPr>
      </w:pPr>
      <w:r w:rsidRPr="00FB30D2">
        <w:rPr>
          <w:rFonts w:eastAsia="Calibri" w:cs="Times New Roman"/>
          <w:lang w:eastAsia="en-US"/>
        </w:rPr>
        <w:t xml:space="preserve">I casi vengono discussi dai gruppi multidisciplinari in maniera sistematica e calendarizzata, al fine di delineare la miglior strategia terapeutica e le fasi della sua attuazione, alla luce dei Percorsi Diagnostico Terapeutici e Assistenziali (PDTA) più aggiornati </w:t>
      </w:r>
      <w:r w:rsidR="00801E05" w:rsidRPr="005304D8">
        <w:rPr>
          <w:rFonts w:cs="Times New Roman"/>
          <w:lang w:eastAsia="en-US"/>
        </w:rPr>
        <w:t xml:space="preserve">(DD n </w:t>
      </w:r>
      <w:r w:rsidR="00801E05">
        <w:rPr>
          <w:rFonts w:cs="Times New Roman"/>
          <w:lang w:eastAsia="en-US"/>
        </w:rPr>
        <w:t>626</w:t>
      </w:r>
      <w:r w:rsidR="00801E05" w:rsidRPr="005304D8">
        <w:rPr>
          <w:rFonts w:cs="Times New Roman"/>
          <w:lang w:eastAsia="en-US"/>
        </w:rPr>
        <w:t xml:space="preserve"> del 2</w:t>
      </w:r>
      <w:r w:rsidR="00801E05">
        <w:rPr>
          <w:rFonts w:cs="Times New Roman"/>
          <w:lang w:eastAsia="en-US"/>
        </w:rPr>
        <w:t>9/09/2023</w:t>
      </w:r>
      <w:r w:rsidR="00801E05" w:rsidRPr="005304D8">
        <w:rPr>
          <w:rFonts w:cs="Times New Roman"/>
          <w:lang w:eastAsia="en-US"/>
        </w:rPr>
        <w:t xml:space="preserve"> della Regione Campania). </w:t>
      </w:r>
    </w:p>
    <w:p w:rsidR="00FB30D2" w:rsidRPr="00FB30D2" w:rsidRDefault="00FB30D2" w:rsidP="00FB30D2">
      <w:pPr>
        <w:spacing w:line="360" w:lineRule="auto"/>
        <w:ind w:right="226"/>
        <w:jc w:val="both"/>
        <w:rPr>
          <w:rFonts w:eastAsia="Calibri" w:cs="Times New Roman"/>
          <w:lang w:eastAsia="en-US"/>
        </w:rPr>
      </w:pPr>
      <w:r w:rsidRPr="00FB30D2">
        <w:rPr>
          <w:rFonts w:eastAsia="Calibri" w:cs="Times New Roman"/>
          <w:lang w:eastAsia="en-US"/>
        </w:rPr>
        <w:t>I pazienti che vengono discussi sono coloro che hanno una neoplasia con prima diagnosi o con sospetto diagnostico o che necessitano di ulteriori valutazioni nel corso dell’iter terapeutico.</w:t>
      </w:r>
    </w:p>
    <w:p w:rsidR="00FB30D2" w:rsidRPr="00FB30D2" w:rsidRDefault="00FB30D2" w:rsidP="00FB30D2">
      <w:pPr>
        <w:spacing w:line="360" w:lineRule="auto"/>
        <w:ind w:right="226"/>
        <w:jc w:val="both"/>
        <w:rPr>
          <w:rFonts w:eastAsia="Calibri" w:cs="Times New Roman"/>
          <w:lang w:eastAsia="en-US"/>
        </w:rPr>
      </w:pPr>
      <w:r w:rsidRPr="00FB30D2">
        <w:rPr>
          <w:rFonts w:eastAsia="Calibri" w:cs="Times New Roman"/>
          <w:lang w:eastAsia="en-US"/>
        </w:rPr>
        <w:t xml:space="preserve">I GOM creano percorsi dedicati per i pazienti GOM che necessitano di valutazione diagnostica al fine di scegliere in breve tempo la miglior indicazione diagnostica-terapeutica.  </w:t>
      </w:r>
    </w:p>
    <w:p w:rsidR="00FB30D2" w:rsidRPr="00FB30D2" w:rsidRDefault="00FB30D2" w:rsidP="00FB30D2">
      <w:pPr>
        <w:spacing w:line="360" w:lineRule="auto"/>
        <w:ind w:right="226"/>
        <w:jc w:val="both"/>
        <w:rPr>
          <w:rFonts w:eastAsia="Calibri" w:cs="Times New Roman"/>
          <w:lang w:eastAsia="en-US"/>
        </w:rPr>
      </w:pPr>
      <w:r w:rsidRPr="00FB30D2">
        <w:rPr>
          <w:rFonts w:eastAsia="Calibri" w:cs="Times New Roman"/>
          <w:lang w:eastAsia="en-US"/>
        </w:rPr>
        <w:t xml:space="preserve">Tra le varie attività del case manager su indicazione medica è possibile attivare l’Assistenza Domiciliare Integrata nelle fasi successive. </w:t>
      </w:r>
    </w:p>
    <w:p w:rsidR="00FB30D2" w:rsidRPr="00FB30D2" w:rsidRDefault="00FB30D2" w:rsidP="00FB30D2">
      <w:pPr>
        <w:spacing w:line="360" w:lineRule="auto"/>
        <w:ind w:right="226"/>
        <w:jc w:val="both"/>
        <w:rPr>
          <w:rFonts w:eastAsia="Calibri" w:cs="Times New Roman"/>
          <w:lang w:eastAsia="en-US"/>
        </w:rPr>
      </w:pPr>
    </w:p>
    <w:p w:rsidR="00FB30D2" w:rsidRPr="00FB30D2" w:rsidRDefault="00FB30D2" w:rsidP="00FB30D2">
      <w:pPr>
        <w:spacing w:line="360" w:lineRule="auto"/>
        <w:ind w:right="226"/>
        <w:jc w:val="both"/>
        <w:rPr>
          <w:rFonts w:eastAsia="Times New Roman" w:cs="Times New Roman"/>
          <w:b/>
        </w:rPr>
      </w:pPr>
      <w:r w:rsidRPr="00FB30D2">
        <w:rPr>
          <w:rFonts w:eastAsia="Times New Roman" w:cs="Times New Roman"/>
          <w:b/>
        </w:rPr>
        <w:t xml:space="preserve"> Percorso diagnostico per alcuni GOM</w:t>
      </w:r>
    </w:p>
    <w:p w:rsidR="00FB30D2" w:rsidRPr="00FB30D2" w:rsidRDefault="00FB30D2" w:rsidP="00FB30D2">
      <w:pPr>
        <w:spacing w:line="360" w:lineRule="auto"/>
        <w:ind w:right="226"/>
        <w:jc w:val="both"/>
        <w:rPr>
          <w:rFonts w:eastAsia="Calibri" w:cs="Times New Roman"/>
          <w:lang w:eastAsia="en-US"/>
        </w:rPr>
      </w:pPr>
      <w:r w:rsidRPr="00FB30D2">
        <w:rPr>
          <w:rFonts w:eastAsia="Calibri" w:cs="Times New Roman"/>
          <w:lang w:eastAsia="en-US"/>
        </w:rPr>
        <w:t>Alcuni GOM hanno organizzato degli slot per prestazioni diagnostiche ambulatoriali (con impegnativa) per i pazienti in valutazione GOM.</w:t>
      </w:r>
    </w:p>
    <w:p w:rsidR="00FB30D2" w:rsidRPr="00FB30D2" w:rsidRDefault="00FB30D2" w:rsidP="00FB30D2">
      <w:pPr>
        <w:spacing w:line="360" w:lineRule="auto"/>
        <w:ind w:right="226"/>
        <w:jc w:val="both"/>
        <w:rPr>
          <w:rFonts w:eastAsia="Calibri" w:cs="Times New Roman"/>
          <w:lang w:eastAsia="en-US"/>
        </w:rPr>
      </w:pPr>
      <w:r w:rsidRPr="00FB30D2">
        <w:rPr>
          <w:rFonts w:eastAsia="Calibri" w:cs="Times New Roman"/>
          <w:lang w:eastAsia="en-US"/>
        </w:rPr>
        <w:t>Le richieste vanno fatte solo dai case manager. Il case manager riceve la data e avverte il paziente. La responsabilità delle richieste è del responsabile del GOM.</w:t>
      </w:r>
    </w:p>
    <w:p w:rsidR="00FB30D2" w:rsidRPr="00FB30D2" w:rsidRDefault="00FB30D2" w:rsidP="00FB30D2">
      <w:pPr>
        <w:spacing w:line="360" w:lineRule="auto"/>
        <w:ind w:right="226"/>
        <w:jc w:val="both"/>
        <w:rPr>
          <w:rFonts w:eastAsia="Times New Roman" w:cs="Times New Roman"/>
          <w:b/>
        </w:rPr>
      </w:pPr>
    </w:p>
    <w:p w:rsidR="00FB30D2" w:rsidRPr="00FB30D2" w:rsidRDefault="00FB30D2" w:rsidP="00FB30D2">
      <w:pPr>
        <w:spacing w:line="360" w:lineRule="auto"/>
        <w:ind w:right="226"/>
        <w:jc w:val="both"/>
        <w:rPr>
          <w:rFonts w:eastAsia="Times New Roman" w:cs="Times New Roman"/>
          <w:b/>
        </w:rPr>
      </w:pPr>
      <w:r w:rsidRPr="00FB30D2">
        <w:rPr>
          <w:rFonts w:eastAsia="Times New Roman" w:cs="Times New Roman"/>
          <w:b/>
        </w:rPr>
        <w:t>Prenotazione diagnostica GOM sulla piattaforma</w:t>
      </w:r>
    </w:p>
    <w:p w:rsidR="00FB30D2" w:rsidRPr="00FB30D2" w:rsidRDefault="00FB30D2" w:rsidP="00FB30D2">
      <w:pPr>
        <w:spacing w:line="360" w:lineRule="auto"/>
        <w:ind w:right="226"/>
        <w:jc w:val="both"/>
        <w:rPr>
          <w:rFonts w:eastAsia="Calibri" w:cs="Times New Roman"/>
          <w:lang w:eastAsia="en-US"/>
        </w:rPr>
      </w:pPr>
      <w:r w:rsidRPr="00FB30D2">
        <w:rPr>
          <w:rFonts w:eastAsia="Calibri" w:cs="Times New Roman"/>
          <w:lang w:eastAsia="en-US"/>
        </w:rPr>
        <w:t>Il case manager su indicazione medica,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rsidR="00FB30D2" w:rsidRPr="00FB30D2" w:rsidRDefault="00FB30D2" w:rsidP="00FB30D2">
      <w:pPr>
        <w:spacing w:line="360" w:lineRule="auto"/>
        <w:ind w:right="226"/>
        <w:jc w:val="both"/>
        <w:rPr>
          <w:rFonts w:eastAsia="Calibri" w:cs="Times New Roman"/>
          <w:lang w:eastAsia="en-US"/>
        </w:rPr>
      </w:pPr>
    </w:p>
    <w:p w:rsidR="00FB30D2" w:rsidRPr="00FB30D2" w:rsidRDefault="00FB30D2" w:rsidP="00FB30D2">
      <w:pPr>
        <w:spacing w:line="360" w:lineRule="auto"/>
        <w:ind w:right="226"/>
        <w:jc w:val="both"/>
        <w:rPr>
          <w:rFonts w:eastAsia="Times New Roman" w:cs="Times New Roman"/>
          <w:b/>
        </w:rPr>
      </w:pPr>
      <w:r w:rsidRPr="00FB30D2">
        <w:rPr>
          <w:rFonts w:eastAsia="Times New Roman" w:cs="Times New Roman"/>
          <w:b/>
        </w:rPr>
        <w:t>Primo contatto con il paziente</w:t>
      </w:r>
    </w:p>
    <w:p w:rsidR="00FB30D2" w:rsidRPr="00FB30D2" w:rsidRDefault="00FB30D2" w:rsidP="00FB30D2">
      <w:pPr>
        <w:spacing w:line="360" w:lineRule="auto"/>
        <w:ind w:right="226"/>
        <w:jc w:val="both"/>
        <w:rPr>
          <w:rFonts w:eastAsia="Times New Roman" w:cs="Times New Roman"/>
        </w:rPr>
      </w:pPr>
      <w:r w:rsidRPr="00FB30D2">
        <w:rPr>
          <w:rFonts w:eastAsia="Times New Roman" w:cs="Times New Roman"/>
        </w:rPr>
        <w:t xml:space="preserve">Come definito per tutta la Rete Oncologica regionale, nel sospetto clinico di patologia 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 </w:t>
      </w:r>
    </w:p>
    <w:p w:rsidR="00FB30D2" w:rsidRPr="00FB30D2" w:rsidRDefault="00FB30D2" w:rsidP="00FB30D2">
      <w:pPr>
        <w:spacing w:line="360" w:lineRule="auto"/>
        <w:ind w:right="226"/>
        <w:jc w:val="both"/>
        <w:rPr>
          <w:rFonts w:eastAsia="Calibri" w:cs="Times New Roman"/>
          <w:lang w:eastAsia="en-US"/>
        </w:rPr>
      </w:pPr>
      <w:r w:rsidRPr="00FB30D2">
        <w:rPr>
          <w:rFonts w:eastAsia="Times New Roman" w:cs="Times New Roman"/>
        </w:rPr>
        <w:t xml:space="preserve">L’invio del paziente ai GOM può avvenire a seguito di visita da parte di un medico del centro oncologico o direttamente da altri centri o dai medici del territorio. La visita sarà svolta entro sette giorni, </w:t>
      </w:r>
      <w:r w:rsidRPr="00FB30D2">
        <w:rPr>
          <w:rFonts w:eastAsia="Calibri" w:cs="Times New Roman"/>
          <w:lang w:eastAsia="en-US"/>
        </w:rPr>
        <w:t>Il case manager prenota la visita e avvisa il paziente. Sarà cura del GOM indirizzare il paziente alla fase di percorso diagnostico-terapeutico appropriata, in base alla tipologia di neoplasia ed alla stadiazione.</w:t>
      </w:r>
    </w:p>
    <w:p w:rsidR="00FB30D2" w:rsidRPr="00FB30D2" w:rsidRDefault="00FB30D2" w:rsidP="00FB30D2">
      <w:pPr>
        <w:spacing w:line="360" w:lineRule="auto"/>
        <w:ind w:right="226"/>
        <w:jc w:val="both"/>
        <w:rPr>
          <w:rFonts w:eastAsia="Calibri" w:cs="Times New Roman"/>
          <w:lang w:eastAsia="en-US"/>
        </w:rPr>
      </w:pPr>
    </w:p>
    <w:p w:rsidR="00FB30D2" w:rsidRPr="00FB30D2" w:rsidRDefault="00FB30D2" w:rsidP="00FB30D2">
      <w:pPr>
        <w:keepNext/>
        <w:spacing w:line="360" w:lineRule="auto"/>
        <w:jc w:val="both"/>
        <w:outlineLvl w:val="1"/>
        <w:rPr>
          <w:rFonts w:eastAsia="Times New Roman" w:cs="Times New Roman"/>
          <w:bCs/>
        </w:rPr>
      </w:pPr>
      <w:r w:rsidRPr="00FB30D2">
        <w:rPr>
          <w:rFonts w:eastAsia="Times New Roman" w:cs="Times New Roman"/>
          <w:b/>
          <w:bCs/>
        </w:rPr>
        <w:t>Presa in carico del paziente</w:t>
      </w:r>
    </w:p>
    <w:p w:rsidR="00FB30D2" w:rsidRPr="00FB30D2" w:rsidRDefault="00FB30D2" w:rsidP="00FB30D2">
      <w:pPr>
        <w:spacing w:line="360" w:lineRule="auto"/>
        <w:ind w:right="226"/>
        <w:jc w:val="both"/>
        <w:rPr>
          <w:rFonts w:eastAsia="Times New Roman" w:cs="Times New Roman"/>
        </w:rPr>
      </w:pPr>
      <w:r w:rsidRPr="00FB30D2">
        <w:rPr>
          <w:rFonts w:eastAsia="Times New Roman" w:cs="Times New Roman"/>
        </w:rPr>
        <w:t xml:space="preserve">La Presa in Carico del paziente nella sua globalità prevede l’integrazione di più professionisti </w:t>
      </w:r>
    </w:p>
    <w:p w:rsidR="00FB30D2" w:rsidRPr="00FB30D2" w:rsidRDefault="00FB30D2" w:rsidP="00FB30D2">
      <w:pPr>
        <w:spacing w:line="360" w:lineRule="auto"/>
        <w:ind w:right="226"/>
        <w:jc w:val="both"/>
        <w:rPr>
          <w:rFonts w:eastAsia="Times New Roman" w:cs="Times New Roman"/>
        </w:rPr>
      </w:pPr>
      <w:r w:rsidRPr="00FB30D2">
        <w:rPr>
          <w:rFonts w:eastAsia="Times New Roman" w:cs="Times New Roman"/>
        </w:rPr>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rsidR="00FB30D2" w:rsidRPr="00FB30D2" w:rsidRDefault="00FB30D2" w:rsidP="00FB30D2">
      <w:pPr>
        <w:spacing w:line="360" w:lineRule="auto"/>
        <w:ind w:right="226"/>
        <w:jc w:val="both"/>
        <w:rPr>
          <w:rFonts w:eastAsia="Times New Roman" w:cs="Times New Roman"/>
        </w:rPr>
      </w:pPr>
      <w:r w:rsidRPr="00FB30D2">
        <w:rPr>
          <w:rFonts w:eastAsia="Times New Roman" w:cs="Times New Roman"/>
        </w:rPr>
        <w:t>Il paziente effettuerà la prima visita necessaria per l’inquadramento del problema presso un ambulatorio dedicato entro 7 giorni dalla segnalazione.</w:t>
      </w:r>
    </w:p>
    <w:p w:rsidR="00FB30D2" w:rsidRPr="00FB30D2" w:rsidRDefault="00FB30D2" w:rsidP="00FB30D2">
      <w:pPr>
        <w:spacing w:line="360" w:lineRule="auto"/>
        <w:ind w:right="226"/>
        <w:jc w:val="both"/>
        <w:rPr>
          <w:rFonts w:eastAsia="Times New Roman" w:cs="Times New Roman"/>
        </w:rPr>
      </w:pPr>
    </w:p>
    <w:p w:rsidR="00FB30D2" w:rsidRPr="00FB30D2" w:rsidRDefault="00FB30D2" w:rsidP="00FB30D2">
      <w:pPr>
        <w:keepNext/>
        <w:spacing w:line="360" w:lineRule="auto"/>
        <w:jc w:val="both"/>
        <w:outlineLvl w:val="1"/>
        <w:rPr>
          <w:rFonts w:eastAsia="Times New Roman" w:cs="Times New Roman"/>
          <w:bCs/>
        </w:rPr>
      </w:pPr>
      <w:r w:rsidRPr="00FB30D2">
        <w:rPr>
          <w:rFonts w:eastAsia="Times New Roman" w:cs="Times New Roman"/>
          <w:b/>
          <w:bCs/>
        </w:rPr>
        <w:t>La riunione multidisciplinare</w:t>
      </w:r>
    </w:p>
    <w:p w:rsidR="00FB30D2" w:rsidRPr="00FB30D2" w:rsidRDefault="00FB30D2" w:rsidP="00FB30D2">
      <w:pPr>
        <w:spacing w:line="360" w:lineRule="auto"/>
        <w:ind w:right="226"/>
        <w:jc w:val="both"/>
        <w:rPr>
          <w:rFonts w:eastAsia="Times New Roman" w:cs="Times New Roman"/>
        </w:rPr>
      </w:pPr>
      <w:r w:rsidRPr="00FB30D2">
        <w:rPr>
          <w:rFonts w:eastAsia="Calibri" w:cs="Times New Roman"/>
          <w:lang w:eastAsia="en-US"/>
        </w:rPr>
        <w:t xml:space="preserve">La riunione multidisciplinare del GOM avviene in maniera sistematica (una volta a settimana o ogni quindici giorni) e calendarizzata (sempre la stessa ora e giorno della settimana). Il GOM prima della pandemia avveniva raggruppando i membri del Core Team ed il case manager in una stanza adibita per il GOM, ora la discussione avviene in molti casi in maniera telematica </w:t>
      </w:r>
    </w:p>
    <w:p w:rsidR="00FB30D2" w:rsidRPr="00FB30D2" w:rsidRDefault="00FB30D2" w:rsidP="00FB30D2">
      <w:pPr>
        <w:spacing w:line="360" w:lineRule="auto"/>
        <w:ind w:right="226"/>
        <w:jc w:val="both"/>
        <w:rPr>
          <w:rFonts w:eastAsia="Times New Roman" w:cs="Times New Roman"/>
        </w:rPr>
      </w:pPr>
    </w:p>
    <w:p w:rsidR="00FB30D2" w:rsidRPr="00FB30D2" w:rsidRDefault="00FB30D2" w:rsidP="00FB30D2">
      <w:pPr>
        <w:keepNext/>
        <w:spacing w:line="360" w:lineRule="auto"/>
        <w:jc w:val="both"/>
        <w:outlineLvl w:val="1"/>
        <w:rPr>
          <w:rFonts w:eastAsia="Times New Roman" w:cs="Times New Roman"/>
          <w:bCs/>
        </w:rPr>
      </w:pPr>
      <w:r w:rsidRPr="00FB30D2">
        <w:rPr>
          <w:rFonts w:eastAsia="Times New Roman" w:cs="Times New Roman"/>
          <w:b/>
          <w:bCs/>
        </w:rPr>
        <w:t>Comunicazione al paziente</w:t>
      </w:r>
    </w:p>
    <w:p w:rsidR="00FB30D2" w:rsidRPr="00FB30D2" w:rsidRDefault="00FB30D2" w:rsidP="00FB30D2">
      <w:pPr>
        <w:spacing w:line="360" w:lineRule="auto"/>
        <w:ind w:right="226"/>
        <w:jc w:val="both"/>
        <w:rPr>
          <w:rFonts w:eastAsia="Calibri" w:cs="Times New Roman"/>
          <w:lang w:eastAsia="en-US"/>
        </w:rPr>
      </w:pPr>
      <w:r w:rsidRPr="00FB30D2">
        <w:rPr>
          <w:rFonts w:eastAsia="Calibri" w:cs="Times New Roman"/>
          <w:lang w:eastAsia="en-US"/>
        </w:rPr>
        <w:t xml:space="preserve">La comunicazione al paziente ha un ruolo fondamentale. Il case manager avvisa e spiega le modalità per le visite e gli eventuali esami diagnostici richiesti dal GOM, informa il paziente della data visita post-GOM e   comunica con il medico l’indicazione diagnostica-terapeutica data dal GOM. </w:t>
      </w:r>
    </w:p>
    <w:p w:rsidR="00FB30D2" w:rsidRPr="00FB30D2" w:rsidRDefault="00FB30D2" w:rsidP="00FB30D2">
      <w:pPr>
        <w:spacing w:line="360" w:lineRule="auto"/>
        <w:ind w:right="226"/>
        <w:jc w:val="both"/>
        <w:rPr>
          <w:rFonts w:eastAsia="Calibri" w:cs="Times New Roman"/>
          <w:lang w:eastAsia="en-US"/>
        </w:rPr>
      </w:pPr>
    </w:p>
    <w:p w:rsidR="00FB30D2" w:rsidRPr="00FB30D2" w:rsidRDefault="00FB30D2" w:rsidP="00FB30D2">
      <w:pPr>
        <w:keepNext/>
        <w:spacing w:line="360" w:lineRule="auto"/>
        <w:jc w:val="both"/>
        <w:outlineLvl w:val="1"/>
        <w:rPr>
          <w:rFonts w:eastAsia="Times New Roman" w:cs="Times New Roman"/>
          <w:bCs/>
        </w:rPr>
      </w:pPr>
      <w:r w:rsidRPr="00FB30D2">
        <w:rPr>
          <w:rFonts w:eastAsia="Times New Roman" w:cs="Times New Roman"/>
          <w:b/>
          <w:bCs/>
        </w:rPr>
        <w:t>Verbali</w:t>
      </w:r>
    </w:p>
    <w:p w:rsidR="00FB30D2" w:rsidRPr="00FB30D2" w:rsidRDefault="00FB30D2" w:rsidP="00FB30D2">
      <w:pPr>
        <w:tabs>
          <w:tab w:val="left" w:pos="1006"/>
        </w:tabs>
        <w:spacing w:line="360" w:lineRule="auto"/>
        <w:jc w:val="both"/>
        <w:rPr>
          <w:rFonts w:eastAsia="Calibri" w:cs="Times New Roman"/>
          <w:lang w:eastAsia="en-US"/>
        </w:rPr>
      </w:pPr>
      <w:r w:rsidRPr="00FB30D2">
        <w:rPr>
          <w:rFonts w:eastAsia="Calibri" w:cs="Times New Roman"/>
          <w:lang w:eastAsia="en-US"/>
        </w:rPr>
        <w:t xml:space="preserve">Il referto del GOM è un documento che attesta dopo la valutazione del gruppo multidisciplinare la miglior indicazione diagnostico-terapeutica. Il verbale è composto dall’anagrafica, patologie concomitanti, terapie in corso ed anamnesi oncologica del paziente compilati dal case-manager o dal medico proponente. Durante il GOM vengono segnalati nel referto le valutazioni, l’indicazione e il programma. Una volta completato il referto con l’effettiva indicazione terapeutica, viene stampato e firmato dai membri che hanno discusso il caso (o per centri che effettuano riunioni telematiche per problematiche COVID viene stampato e firmato dal coordinatore del GOM e dal case-manager). Il case manager dopo la conclusione carica il referto sulla piattaforma della Rete Oncologica Campana per renderli disponibili per i MMG e medici invianti </w:t>
      </w:r>
    </w:p>
    <w:p w:rsidR="00FB30D2" w:rsidRPr="00FB30D2" w:rsidRDefault="00FB30D2" w:rsidP="00FB30D2">
      <w:pPr>
        <w:keepNext/>
        <w:spacing w:line="360" w:lineRule="auto"/>
        <w:ind w:firstLine="708"/>
        <w:jc w:val="both"/>
        <w:outlineLvl w:val="1"/>
        <w:rPr>
          <w:rFonts w:eastAsia="Times New Roman" w:cs="Times New Roman"/>
          <w:b/>
        </w:rPr>
      </w:pPr>
    </w:p>
    <w:p w:rsidR="00FB30D2" w:rsidRPr="00FB30D2" w:rsidRDefault="00FB30D2" w:rsidP="00FB30D2">
      <w:pPr>
        <w:keepNext/>
        <w:spacing w:line="360" w:lineRule="auto"/>
        <w:jc w:val="both"/>
        <w:outlineLvl w:val="1"/>
        <w:rPr>
          <w:rFonts w:eastAsia="Times New Roman" w:cs="Times New Roman"/>
          <w:bCs/>
        </w:rPr>
      </w:pPr>
      <w:r w:rsidRPr="00FB30D2">
        <w:rPr>
          <w:rFonts w:eastAsia="Times New Roman" w:cs="Times New Roman"/>
          <w:b/>
          <w:bCs/>
        </w:rPr>
        <w:t>Chiusura scheda - piattaforma ROC</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lang w:eastAsia="en-US"/>
        </w:rPr>
        <w:t xml:space="preserve">La scheda della Rete Oncologica Campana di ogni paziente deve essere chiusa con l’indicazione finale del GOM che è possibile scegliere tra i diversi tipi di completamento presenti in piattaforma ROC. Il case manager ha il ruolo di chiuderla e di compilare gli indicatori richiesti. </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lang w:eastAsia="en-US"/>
        </w:rPr>
        <w:t>Aperta la schermata e selezionata la voce “chiusura” il case manager procede alla compilazione degli indicatori richiesti.</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Visita GOM:</w:t>
      </w:r>
      <w:r w:rsidRPr="00FB30D2">
        <w:rPr>
          <w:rFonts w:eastAsia="Calibri" w:cs="Times New Roman"/>
          <w:lang w:eastAsia="en-US"/>
        </w:rPr>
        <w:t xml:space="preserve"> si intende la prima discussione multidisciplinare del paziente </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Fine stadiazione:</w:t>
      </w:r>
      <w:r w:rsidRPr="00FB30D2">
        <w:rPr>
          <w:rFonts w:eastAsia="Calibri" w:cs="Times New Roman"/>
          <w:lang w:eastAsia="en-US"/>
        </w:rPr>
        <w:t xml:space="preserve"> si inserisce la data di esami diagnostici richiesti dal GOM, se non sono stati richiesti esami la data della fine stadiazione corrisponde alla data della visita GOM.</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Intervento chirurgico:</w:t>
      </w:r>
      <w:r w:rsidRPr="00FB30D2">
        <w:rPr>
          <w:rFonts w:eastAsia="Calibri" w:cs="Times New Roman"/>
          <w:lang w:eastAsia="en-US"/>
        </w:rPr>
        <w:t xml:space="preserve"> è necessario compilarla solo con i pazienti con indicazione a chirurgia con la data dell’intervento.</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Data completamento</w:t>
      </w:r>
      <w:r w:rsidRPr="00FB30D2">
        <w:rPr>
          <w:rFonts w:eastAsia="Calibri" w:cs="Times New Roman"/>
          <w:lang w:eastAsia="en-US"/>
        </w:rPr>
        <w:t xml:space="preserve">: è la data dell’ultima visita GOM dove è stata decisa l’indicazione terapeutica. </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Tipi di completamento</w:t>
      </w:r>
      <w:r w:rsidRPr="00FB30D2">
        <w:rPr>
          <w:rFonts w:eastAsia="Calibri" w:cs="Times New Roman"/>
          <w:lang w:eastAsia="en-US"/>
        </w:rPr>
        <w:t xml:space="preserve">: bisogna selezionare l’indicazione data tra i campi della piattaforma. Tipi di completamento sono: </w:t>
      </w:r>
      <w:r w:rsidRPr="00FB30D2">
        <w:rPr>
          <w:rFonts w:eastAsia="Calibri" w:cs="Times New Roman"/>
          <w:b/>
          <w:lang w:eastAsia="en-US"/>
        </w:rPr>
        <w:t xml:space="preserve">Follow-up, Chemio, Radio, Chemio-Radio, Ormonoterapia, Immunoterapia, Target therapy, Chirurgia, Sorveglianza clinico-strumentale, Indicazione al percorso oncogenetico, Non indicazione al percorso oncogenetico, Terapia radiorecettoriale (PRRT) </w:t>
      </w:r>
      <w:r w:rsidRPr="00FB30D2">
        <w:rPr>
          <w:rFonts w:eastAsia="Calibri" w:cs="Times New Roman"/>
          <w:lang w:eastAsia="en-US"/>
        </w:rPr>
        <w:t>e</w:t>
      </w:r>
      <w:r w:rsidRPr="00FB30D2">
        <w:rPr>
          <w:rFonts w:eastAsia="Calibri" w:cs="Times New Roman"/>
          <w:b/>
          <w:lang w:eastAsia="en-US"/>
        </w:rPr>
        <w:t xml:space="preserve"> Ormonoterapia/Radioterapia</w:t>
      </w:r>
      <w:r w:rsidRPr="00FB30D2">
        <w:rPr>
          <w:rFonts w:eastAsia="Calibri" w:cs="Times New Roman"/>
          <w:lang w:eastAsia="en-US"/>
        </w:rPr>
        <w:t>.</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Data di inizio terapia:</w:t>
      </w:r>
      <w:r w:rsidRPr="00FB30D2">
        <w:rPr>
          <w:rFonts w:eastAsia="Calibri" w:cs="Times New Roman"/>
          <w:lang w:eastAsia="en-US"/>
        </w:rPr>
        <w:t xml:space="preserve"> la data in cui i pazienti inizia il trattamento </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Data decesso</w:t>
      </w:r>
      <w:r w:rsidRPr="00FB30D2">
        <w:rPr>
          <w:rFonts w:eastAsia="Calibri" w:cs="Times New Roman"/>
          <w:lang w:eastAsia="en-US"/>
        </w:rPr>
        <w:t>: la data del decesso del paziente avvenuta prima dell’indicazione del GOM.</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 xml:space="preserve">Deviazioni rispetto alle Linee Guida: </w:t>
      </w:r>
      <w:r w:rsidRPr="00FB30D2">
        <w:rPr>
          <w:rFonts w:eastAsia="Calibri" w:cs="Times New Roman"/>
          <w:lang w:eastAsia="en-US"/>
        </w:rPr>
        <w:t xml:space="preserve">il GOM da indicazione che differisce dalle normali linee guida (es. per età avanzata, comorbilità ecc)  </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b/>
          <w:lang w:eastAsia="en-US"/>
        </w:rPr>
        <w:t xml:space="preserve">Fuori Rete Regionale: </w:t>
      </w:r>
      <w:r w:rsidRPr="00FB30D2">
        <w:rPr>
          <w:rFonts w:eastAsia="Calibri" w:cs="Times New Roman"/>
          <w:lang w:eastAsia="en-US"/>
        </w:rPr>
        <w:t xml:space="preserve">il paziente vuole essere seguito extra-regione </w:t>
      </w:r>
    </w:p>
    <w:p w:rsidR="00FB30D2" w:rsidRPr="00FB30D2" w:rsidRDefault="00FB30D2" w:rsidP="00FB30D2">
      <w:pPr>
        <w:spacing w:line="360" w:lineRule="auto"/>
        <w:jc w:val="both"/>
        <w:rPr>
          <w:rFonts w:cs="Times New Roman"/>
        </w:rPr>
      </w:pPr>
      <w:r w:rsidRPr="00FB30D2">
        <w:rPr>
          <w:rFonts w:cs="Times New Roman"/>
          <w:noProof/>
        </w:rPr>
        <w:drawing>
          <wp:inline distT="0" distB="0" distL="0" distR="0" wp14:anchorId="0A2D56EE" wp14:editId="086CAEF9">
            <wp:extent cx="6120130" cy="406082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tura.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60825"/>
                    </a:xfrm>
                    <a:prstGeom prst="rect">
                      <a:avLst/>
                    </a:prstGeom>
                  </pic:spPr>
                </pic:pic>
              </a:graphicData>
            </a:graphic>
          </wp:inline>
        </w:drawing>
      </w: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r w:rsidRPr="00FB30D2">
        <w:rPr>
          <w:rFonts w:eastAsia="Calibri" w:cs="Times New Roman"/>
          <w:lang w:eastAsia="en-US"/>
        </w:rPr>
        <w:t xml:space="preserve">Per chiudere la scheda dopo la compilazione degli indicatori di chiusura, è obbligatorio caricare nella Diagnosi di dimissione il referto della discussione GOM in formato pdf e solo dopo procedere alla chiusura della scheda.  </w:t>
      </w:r>
    </w:p>
    <w:p w:rsidR="00FB30D2" w:rsidRPr="00FB30D2" w:rsidRDefault="00FB30D2" w:rsidP="00FB30D2">
      <w:pPr>
        <w:pStyle w:val="Titolo2"/>
        <w:spacing w:line="360" w:lineRule="auto"/>
        <w:jc w:val="both"/>
        <w:rPr>
          <w:rFonts w:ascii="Times New Roman" w:hAnsi="Times New Roman" w:cs="Times New Roman"/>
          <w:bCs/>
          <w:color w:val="auto"/>
          <w:sz w:val="24"/>
          <w:szCs w:val="24"/>
        </w:rPr>
      </w:pPr>
    </w:p>
    <w:p w:rsidR="00FB30D2" w:rsidRPr="00FB30D2" w:rsidRDefault="00FB30D2" w:rsidP="00FB30D2">
      <w:pPr>
        <w:keepNext/>
        <w:spacing w:line="360" w:lineRule="auto"/>
        <w:jc w:val="both"/>
        <w:outlineLvl w:val="1"/>
        <w:rPr>
          <w:rFonts w:eastAsia="Times New Roman" w:cs="Times New Roman"/>
          <w:bCs/>
        </w:rPr>
      </w:pPr>
      <w:r w:rsidRPr="00FB30D2">
        <w:rPr>
          <w:rFonts w:eastAsia="Times New Roman" w:cs="Times New Roman"/>
          <w:b/>
          <w:bCs/>
        </w:rPr>
        <w:t>Continuità territoriale, Attivazione ADI attraverso la piattaforma ROC</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lang w:eastAsia="en-US"/>
        </w:rP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lang w:eastAsia="en-US"/>
        </w:rPr>
        <w:t xml:space="preserve">In accordo con le sette ASL è stata inserita un’unica scheda dei servizi, che include le informazioni cliniche del paziente e le prestazioni richieste, così da facilitare e migliorare la presa in carico del Territorio. </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lang w:eastAsia="en-US"/>
        </w:rP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rsidR="00FB30D2" w:rsidRPr="00FB30D2" w:rsidRDefault="00FB30D2" w:rsidP="00FB30D2">
      <w:pPr>
        <w:spacing w:line="360" w:lineRule="auto"/>
        <w:jc w:val="both"/>
        <w:rPr>
          <w:rFonts w:eastAsia="Calibri" w:cs="Times New Roman"/>
          <w:lang w:eastAsia="en-US"/>
        </w:rPr>
      </w:pPr>
      <w:r w:rsidRPr="00FB30D2">
        <w:rPr>
          <w:rFonts w:eastAsia="Calibri" w:cs="Times New Roman"/>
          <w:lang w:eastAsia="en-US"/>
        </w:rPr>
        <w:t>Tramite la piattaforma il GOM richiedente ha la possibilità di verificare la effettiva avvenuta presa in carico dal Territorio.  Il MMG inviante al GOM riceverà informativa attraverso la stessa piattaforma.</w:t>
      </w:r>
    </w:p>
    <w:p w:rsidR="00FB30D2" w:rsidRPr="00FB30D2" w:rsidRDefault="00FB30D2" w:rsidP="00FB30D2">
      <w:pPr>
        <w:spacing w:line="360" w:lineRule="auto"/>
        <w:jc w:val="both"/>
        <w:rPr>
          <w:rFonts w:cs="Times New Roman"/>
          <w:noProof/>
        </w:rPr>
      </w:pPr>
      <w:r w:rsidRPr="00FB30D2">
        <w:rPr>
          <w:rFonts w:eastAsia="Calibri" w:cs="Times New Roman"/>
          <w:noProof/>
        </w:rPr>
        <w:drawing>
          <wp:inline distT="0" distB="0" distL="0" distR="0" wp14:anchorId="4C813703" wp14:editId="14283C8B">
            <wp:extent cx="5143500" cy="2552493"/>
            <wp:effectExtent l="0" t="0" r="0" b="635"/>
            <wp:docPr id="27" name="Immagine 27"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e.derrico\Desktop\Cattu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4658" cy="2577880"/>
                    </a:xfrm>
                    <a:prstGeom prst="rect">
                      <a:avLst/>
                    </a:prstGeom>
                    <a:noFill/>
                    <a:ln>
                      <a:noFill/>
                    </a:ln>
                  </pic:spPr>
                </pic:pic>
              </a:graphicData>
            </a:graphic>
          </wp:inline>
        </w:drawing>
      </w:r>
      <w:r w:rsidRPr="00FB30D2">
        <w:rPr>
          <w:rFonts w:cs="Times New Roman"/>
          <w:noProof/>
        </w:rPr>
        <w:drawing>
          <wp:inline distT="0" distB="0" distL="0" distR="0" wp14:anchorId="66A75ACA" wp14:editId="3D52DD5C">
            <wp:extent cx="5238750" cy="3254375"/>
            <wp:effectExtent l="0" t="0" r="0" b="317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3953" cy="3263819"/>
                    </a:xfrm>
                    <a:prstGeom prst="rect">
                      <a:avLst/>
                    </a:prstGeom>
                  </pic:spPr>
                </pic:pic>
              </a:graphicData>
            </a:graphic>
          </wp:inline>
        </w:drawing>
      </w:r>
      <w:r w:rsidRPr="00FB30D2">
        <w:rPr>
          <w:rFonts w:cs="Times New Roman"/>
          <w:noProof/>
        </w:rPr>
        <w:drawing>
          <wp:inline distT="0" distB="0" distL="0" distR="0" wp14:anchorId="2F02F46E" wp14:editId="1F67E9EB">
            <wp:extent cx="4733925" cy="2981325"/>
            <wp:effectExtent l="0" t="0" r="9525"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9699" cy="2984961"/>
                    </a:xfrm>
                    <a:prstGeom prst="rect">
                      <a:avLst/>
                    </a:prstGeom>
                  </pic:spPr>
                </pic:pic>
              </a:graphicData>
            </a:graphic>
          </wp:inline>
        </w:drawing>
      </w:r>
    </w:p>
    <w:p w:rsidR="00FB30D2" w:rsidRPr="00FB30D2" w:rsidRDefault="00FB30D2" w:rsidP="00FB30D2">
      <w:pPr>
        <w:spacing w:line="360" w:lineRule="auto"/>
        <w:jc w:val="both"/>
        <w:rPr>
          <w:rFonts w:eastAsia="Calibri" w:cs="Times New Roman"/>
          <w:lang w:eastAsia="en-US"/>
        </w:rPr>
      </w:pPr>
    </w:p>
    <w:p w:rsidR="00FB30D2" w:rsidRPr="00FB30D2" w:rsidRDefault="00FB30D2" w:rsidP="00FB30D2">
      <w:pPr>
        <w:tabs>
          <w:tab w:val="left" w:pos="1055"/>
        </w:tabs>
        <w:spacing w:line="360" w:lineRule="auto"/>
        <w:jc w:val="both"/>
        <w:rPr>
          <w:rFonts w:cs="Times New Roman"/>
          <w:b/>
        </w:rPr>
      </w:pPr>
      <w:r w:rsidRPr="00FB30D2">
        <w:rPr>
          <w:rFonts w:cs="Times New Roman"/>
          <w:noProof/>
        </w:rPr>
        <w:drawing>
          <wp:inline distT="0" distB="0" distL="0" distR="0" wp14:anchorId="70859A8F" wp14:editId="50875702">
            <wp:extent cx="4695825" cy="3635635"/>
            <wp:effectExtent l="0" t="0" r="0" b="317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709" cy="3639416"/>
                    </a:xfrm>
                    <a:prstGeom prst="rect">
                      <a:avLst/>
                    </a:prstGeom>
                  </pic:spPr>
                </pic:pic>
              </a:graphicData>
            </a:graphic>
          </wp:inline>
        </w:drawing>
      </w:r>
      <w:r w:rsidRPr="00FB30D2">
        <w:rPr>
          <w:rFonts w:cs="Times New Roman"/>
          <w:noProof/>
        </w:rPr>
        <w:drawing>
          <wp:inline distT="0" distB="0" distL="0" distR="0" wp14:anchorId="7321D9B1" wp14:editId="74A93FB4">
            <wp:extent cx="4743450" cy="2934962"/>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8991" cy="2944578"/>
                    </a:xfrm>
                    <a:prstGeom prst="rect">
                      <a:avLst/>
                    </a:prstGeom>
                  </pic:spPr>
                </pic:pic>
              </a:graphicData>
            </a:graphic>
          </wp:inline>
        </w:drawing>
      </w:r>
    </w:p>
    <w:p w:rsidR="00FB30D2" w:rsidRPr="00FB30D2" w:rsidRDefault="00FB30D2" w:rsidP="00FB30D2">
      <w:pPr>
        <w:spacing w:line="360" w:lineRule="auto"/>
        <w:jc w:val="both"/>
        <w:rPr>
          <w:rFonts w:eastAsia="Times New Roman" w:cs="Times New Roman"/>
        </w:rPr>
      </w:pPr>
      <w:r w:rsidRPr="00FB30D2">
        <w:rPr>
          <w:rFonts w:cs="Times New Roman"/>
          <w:noProof/>
        </w:rPr>
        <w:drawing>
          <wp:inline distT="0" distB="0" distL="0" distR="0" wp14:anchorId="1BFDC584" wp14:editId="718F2CCC">
            <wp:extent cx="4791075" cy="1124943"/>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3836" cy="1134983"/>
                    </a:xfrm>
                    <a:prstGeom prst="rect">
                      <a:avLst/>
                    </a:prstGeom>
                  </pic:spPr>
                </pic:pic>
              </a:graphicData>
            </a:graphic>
          </wp:inline>
        </w:drawing>
      </w:r>
    </w:p>
    <w:p w:rsidR="00FB30D2" w:rsidRPr="00FB30D2" w:rsidRDefault="00FB30D2" w:rsidP="00FB30D2">
      <w:pPr>
        <w:tabs>
          <w:tab w:val="left" w:pos="1055"/>
        </w:tabs>
        <w:spacing w:line="360" w:lineRule="auto"/>
        <w:jc w:val="both"/>
        <w:rPr>
          <w:rFonts w:cs="Times New Roman"/>
          <w:b/>
        </w:rPr>
      </w:pPr>
    </w:p>
    <w:p w:rsidR="00FB30D2" w:rsidRPr="00FB30D2" w:rsidRDefault="00FB30D2" w:rsidP="00FB30D2">
      <w:pPr>
        <w:tabs>
          <w:tab w:val="left" w:pos="1055"/>
        </w:tabs>
        <w:spacing w:line="360" w:lineRule="auto"/>
        <w:jc w:val="both"/>
        <w:rPr>
          <w:rFonts w:cs="Times New Roman"/>
          <w:b/>
        </w:rPr>
      </w:pPr>
    </w:p>
    <w:p w:rsidR="00FB30D2" w:rsidRPr="00FB30D2" w:rsidRDefault="00FB30D2" w:rsidP="00FB30D2">
      <w:pPr>
        <w:spacing w:line="360" w:lineRule="auto"/>
        <w:jc w:val="both"/>
        <w:rPr>
          <w:rFonts w:cs="Times New Roman"/>
        </w:rPr>
      </w:pPr>
    </w:p>
    <w:p w:rsidR="00E91614" w:rsidRPr="00FB30D2" w:rsidRDefault="00E91614" w:rsidP="00FB30D2">
      <w:pPr>
        <w:spacing w:line="360" w:lineRule="auto"/>
        <w:jc w:val="both"/>
        <w:rPr>
          <w:rFonts w:cs="Times New Roman"/>
          <w:b/>
        </w:rPr>
      </w:pPr>
    </w:p>
    <w:p w:rsidR="00E91614" w:rsidRPr="00FB30D2" w:rsidRDefault="00E91614" w:rsidP="00FB30D2">
      <w:pPr>
        <w:spacing w:line="360" w:lineRule="auto"/>
        <w:jc w:val="both"/>
        <w:rPr>
          <w:rFonts w:cs="Times New Roman"/>
          <w:b/>
          <w:bCs/>
        </w:rPr>
      </w:pPr>
      <w:r w:rsidRPr="00FB30D2">
        <w:rPr>
          <w:rFonts w:cs="Times New Roman"/>
          <w:b/>
          <w:bCs/>
        </w:rPr>
        <w:t>Rete Cardioncologca (CardioROC)</w:t>
      </w:r>
    </w:p>
    <w:p w:rsidR="00E91614" w:rsidRPr="00FB30D2" w:rsidRDefault="00E91614" w:rsidP="00FB30D2">
      <w:pPr>
        <w:spacing w:line="360" w:lineRule="auto"/>
        <w:jc w:val="both"/>
        <w:rPr>
          <w:rFonts w:cs="Times New Roman"/>
        </w:rPr>
      </w:pPr>
      <w:r w:rsidRPr="00FB30D2">
        <w:rPr>
          <w:rFonts w:cs="Times New Roman"/>
        </w:rPr>
        <w:t>Nella piattaforma ROC è stato attivato il servizio di valutazione cardiologica per i pazienti oncologici a grave rischio cardiologico.</w:t>
      </w:r>
    </w:p>
    <w:p w:rsidR="00E91614" w:rsidRPr="00FB30D2" w:rsidRDefault="00E91614" w:rsidP="00FB30D2">
      <w:pPr>
        <w:spacing w:line="360" w:lineRule="auto"/>
        <w:jc w:val="both"/>
        <w:rPr>
          <w:rFonts w:cs="Times New Roman"/>
        </w:rPr>
      </w:pPr>
      <w:r w:rsidRPr="00FB30D2">
        <w:rPr>
          <w:rFonts w:cs="Times New Roman"/>
        </w:rPr>
        <w:t>La rete di cardiologi ha ricevuto le credenziali ROC per accedere al nuovo servizio di valutazione. La richiesta di consulenza cardiologica può essere inoltrata dal medico oncologo o case manager del GOM di interesse tramite la compilazione di una scheda (</w:t>
      </w:r>
      <w:r w:rsidRPr="00FB30D2">
        <w:rPr>
          <w:rFonts w:cs="Times New Roman"/>
          <w:b/>
        </w:rPr>
        <w:t xml:space="preserve">Figura </w:t>
      </w:r>
      <w:r w:rsidR="004C7023">
        <w:rPr>
          <w:rFonts w:cs="Times New Roman"/>
          <w:b/>
        </w:rPr>
        <w:t>5</w:t>
      </w:r>
      <w:r w:rsidRPr="00FB30D2">
        <w:rPr>
          <w:rFonts w:cs="Times New Roman"/>
        </w:rPr>
        <w:t>). Possono essere segnalati solo i pazienti con importanti fattori di rischio cardiovascolare o precedenti eventi cardiovascolari che possono condizionare la scelta del trattamento oncologico.</w:t>
      </w:r>
    </w:p>
    <w:p w:rsidR="00E91614" w:rsidRPr="00FB30D2" w:rsidRDefault="00E91614" w:rsidP="00FB30D2">
      <w:pPr>
        <w:spacing w:line="360" w:lineRule="auto"/>
        <w:jc w:val="both"/>
        <w:rPr>
          <w:rFonts w:cs="Times New Roman"/>
        </w:rPr>
      </w:pPr>
      <w:r w:rsidRPr="00FB30D2">
        <w:rPr>
          <w:rFonts w:cs="Times New Roman"/>
        </w:rPr>
        <w:t>Il cardiologo prenderà in carico la scheda del paziente GOM entro sette giorni dalla segnalazione e procederà al consulto cardiologico, compilando la specifica scheda di presa in carico e allegando la propria relazione (</w:t>
      </w:r>
      <w:r w:rsidRPr="00FB30D2">
        <w:rPr>
          <w:rFonts w:cs="Times New Roman"/>
          <w:b/>
        </w:rPr>
        <w:t xml:space="preserve">Figura </w:t>
      </w:r>
      <w:r w:rsidR="004C7023">
        <w:rPr>
          <w:rFonts w:cs="Times New Roman"/>
          <w:b/>
        </w:rPr>
        <w:t>6</w:t>
      </w:r>
      <w:r w:rsidRPr="00FB30D2">
        <w:rPr>
          <w:rFonts w:cs="Times New Roman"/>
        </w:rPr>
        <w:t>).</w:t>
      </w:r>
    </w:p>
    <w:p w:rsidR="00E91614" w:rsidRPr="00FB30D2" w:rsidRDefault="00E91614" w:rsidP="00FB30D2">
      <w:pPr>
        <w:spacing w:line="360" w:lineRule="auto"/>
        <w:jc w:val="both"/>
        <w:rPr>
          <w:rFonts w:cs="Times New Roman"/>
        </w:rPr>
      </w:pPr>
    </w:p>
    <w:p w:rsidR="00E91614" w:rsidRPr="00FB30D2" w:rsidRDefault="00E91614" w:rsidP="00FB30D2">
      <w:pPr>
        <w:spacing w:line="360" w:lineRule="auto"/>
        <w:jc w:val="both"/>
        <w:rPr>
          <w:rFonts w:cs="Times New Roman"/>
        </w:rPr>
      </w:pPr>
      <w:r w:rsidRPr="00FB30D2">
        <w:rPr>
          <w:rFonts w:cs="Times New Roman"/>
          <w:noProof/>
        </w:rPr>
        <w:drawing>
          <wp:anchor distT="0" distB="0" distL="0" distR="0" simplePos="0" relativeHeight="251687936" behindDoc="0" locked="0" layoutInCell="1" allowOverlap="1" wp14:anchorId="41FC5E5D" wp14:editId="09BCF1BA">
            <wp:simplePos x="0" y="0"/>
            <wp:positionH relativeFrom="page">
              <wp:posOffset>766547</wp:posOffset>
            </wp:positionH>
            <wp:positionV relativeFrom="paragraph">
              <wp:posOffset>179438</wp:posOffset>
            </wp:positionV>
            <wp:extent cx="6226535" cy="5248656"/>
            <wp:effectExtent l="0" t="0" r="0" b="0"/>
            <wp:wrapTopAndBottom/>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24" cstate="print"/>
                    <a:stretch>
                      <a:fillRect/>
                    </a:stretch>
                  </pic:blipFill>
                  <pic:spPr>
                    <a:xfrm>
                      <a:off x="0" y="0"/>
                      <a:ext cx="6226535" cy="5248656"/>
                    </a:xfrm>
                    <a:prstGeom prst="rect">
                      <a:avLst/>
                    </a:prstGeom>
                  </pic:spPr>
                </pic:pic>
              </a:graphicData>
            </a:graphic>
          </wp:anchor>
        </w:drawing>
      </w:r>
    </w:p>
    <w:p w:rsidR="00E91614" w:rsidRPr="00FB30D2" w:rsidRDefault="00E91614" w:rsidP="00FB30D2">
      <w:pPr>
        <w:spacing w:line="360" w:lineRule="auto"/>
        <w:jc w:val="both"/>
        <w:rPr>
          <w:rFonts w:cs="Times New Roman"/>
          <w:b/>
        </w:rPr>
        <w:sectPr w:rsidR="00E91614" w:rsidRPr="00FB30D2" w:rsidSect="00E91614">
          <w:headerReference w:type="default" r:id="rId25"/>
          <w:footerReference w:type="default" r:id="rId26"/>
          <w:type w:val="continuous"/>
          <w:pgSz w:w="11900" w:h="16840"/>
          <w:pgMar w:top="1417" w:right="1134" w:bottom="1134" w:left="1134" w:header="360" w:footer="219" w:gutter="0"/>
          <w:cols w:space="720"/>
        </w:sectPr>
      </w:pPr>
      <w:r w:rsidRPr="00FB30D2">
        <w:rPr>
          <w:rFonts w:cs="Times New Roman"/>
          <w:b/>
        </w:rPr>
        <w:t xml:space="preserve">Figura </w:t>
      </w:r>
      <w:r w:rsidR="004C7023">
        <w:rPr>
          <w:rFonts w:cs="Times New Roman"/>
          <w:b/>
        </w:rPr>
        <w:t>5</w:t>
      </w:r>
    </w:p>
    <w:p w:rsidR="00E91614" w:rsidRPr="00FB30D2" w:rsidRDefault="00E91614" w:rsidP="00FB30D2">
      <w:pPr>
        <w:spacing w:line="360" w:lineRule="auto"/>
        <w:jc w:val="both"/>
        <w:rPr>
          <w:rFonts w:cs="Times New Roman"/>
          <w:b/>
        </w:rPr>
      </w:pPr>
    </w:p>
    <w:p w:rsidR="00E91614" w:rsidRPr="00FB30D2" w:rsidRDefault="00E91614" w:rsidP="00FB30D2">
      <w:pPr>
        <w:spacing w:line="360" w:lineRule="auto"/>
        <w:jc w:val="both"/>
        <w:rPr>
          <w:rFonts w:cs="Times New Roman"/>
        </w:rPr>
      </w:pPr>
      <w:r w:rsidRPr="00FB30D2">
        <w:rPr>
          <w:rFonts w:cs="Times New Roman"/>
          <w:noProof/>
        </w:rPr>
        <w:drawing>
          <wp:inline distT="0" distB="0" distL="0" distR="0" wp14:anchorId="30921B2D" wp14:editId="7029666F">
            <wp:extent cx="6229536" cy="5586984"/>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7" cstate="print"/>
                    <a:stretch>
                      <a:fillRect/>
                    </a:stretch>
                  </pic:blipFill>
                  <pic:spPr>
                    <a:xfrm>
                      <a:off x="0" y="0"/>
                      <a:ext cx="6229536" cy="5586984"/>
                    </a:xfrm>
                    <a:prstGeom prst="rect">
                      <a:avLst/>
                    </a:prstGeom>
                  </pic:spPr>
                </pic:pic>
              </a:graphicData>
            </a:graphic>
          </wp:inline>
        </w:drawing>
      </w:r>
    </w:p>
    <w:p w:rsidR="00E91614" w:rsidRPr="00FB30D2" w:rsidRDefault="00E91614" w:rsidP="00FB30D2">
      <w:pPr>
        <w:spacing w:line="360" w:lineRule="auto"/>
        <w:jc w:val="both"/>
        <w:rPr>
          <w:rFonts w:cs="Times New Roman"/>
          <w:b/>
        </w:rPr>
      </w:pPr>
    </w:p>
    <w:p w:rsidR="00E91614" w:rsidRPr="00FB30D2" w:rsidRDefault="00E91614" w:rsidP="00FB30D2">
      <w:pPr>
        <w:spacing w:line="360" w:lineRule="auto"/>
        <w:jc w:val="both"/>
        <w:rPr>
          <w:rFonts w:cs="Times New Roman"/>
          <w:b/>
        </w:rPr>
      </w:pPr>
      <w:r w:rsidRPr="00FB30D2">
        <w:rPr>
          <w:rFonts w:cs="Times New Roman"/>
          <w:b/>
        </w:rPr>
        <w:t xml:space="preserve">Figura </w:t>
      </w:r>
      <w:r w:rsidR="004C7023">
        <w:rPr>
          <w:rFonts w:cs="Times New Roman"/>
          <w:b/>
        </w:rPr>
        <w:t>6</w:t>
      </w:r>
    </w:p>
    <w:p w:rsidR="00E91614" w:rsidRPr="00FB30D2" w:rsidRDefault="00E91614" w:rsidP="00FB30D2">
      <w:pPr>
        <w:spacing w:line="360" w:lineRule="auto"/>
        <w:jc w:val="both"/>
        <w:rPr>
          <w:rFonts w:cs="Times New Roman"/>
        </w:rPr>
      </w:pP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p>
    <w:p w:rsidR="00FB30D2" w:rsidRPr="00FB30D2" w:rsidRDefault="00FB30D2" w:rsidP="00FB30D2">
      <w:pPr>
        <w:spacing w:after="160" w:line="360" w:lineRule="auto"/>
        <w:jc w:val="both"/>
        <w:rPr>
          <w:rFonts w:eastAsia="Calibri" w:cs="Times New Roman"/>
          <w:b/>
          <w:lang w:eastAsia="en-US"/>
        </w:rPr>
      </w:pPr>
      <w:r w:rsidRPr="00FB30D2">
        <w:rPr>
          <w:rFonts w:eastAsia="Calibri" w:cs="Times New Roman"/>
          <w:b/>
          <w:lang w:eastAsia="en-US"/>
        </w:rPr>
        <w:t xml:space="preserve">Valutazione per Trial Clinico </w:t>
      </w:r>
    </w:p>
    <w:p w:rsidR="00FB30D2" w:rsidRPr="00FB30D2" w:rsidRDefault="00FB30D2" w:rsidP="00FB30D2">
      <w:pPr>
        <w:tabs>
          <w:tab w:val="left" w:pos="1134"/>
        </w:tabs>
        <w:spacing w:line="360" w:lineRule="auto"/>
        <w:ind w:right="-1"/>
        <w:jc w:val="both"/>
        <w:rPr>
          <w:rFonts w:eastAsia="Times New Roman" w:cs="Times New Roman"/>
          <w:bCs/>
        </w:rPr>
      </w:pPr>
      <w:r w:rsidRPr="00FB30D2">
        <w:rPr>
          <w:rFonts w:eastAsia="Times New Roman" w:cs="Times New Roman"/>
          <w:bCs/>
        </w:rPr>
        <w:t>Tra gli obiettivi della Rete Oncologica Campana c’è quello di favorire l’inserimento dei pazienti in studi clinici e promuovere in modo sinergico la ricerca e innovazione in campo oncologico e per questo motivo che la piattaforma è stato inserito altro servizio:</w:t>
      </w:r>
      <w:r w:rsidRPr="00FB30D2">
        <w:rPr>
          <w:rFonts w:eastAsia="Times New Roman" w:cs="Times New Roman"/>
          <w:lang w:val="x-none"/>
        </w:rPr>
        <w:t xml:space="preserve"> </w:t>
      </w:r>
      <w:r w:rsidRPr="00FB30D2">
        <w:rPr>
          <w:rFonts w:eastAsia="Times New Roman" w:cs="Times New Roman"/>
          <w:b/>
          <w:bCs/>
          <w:i/>
        </w:rPr>
        <w:t>Trial Clinico</w:t>
      </w:r>
      <w:r w:rsidRPr="00FB30D2">
        <w:rPr>
          <w:rFonts w:eastAsia="Times New Roman" w:cs="Times New Roman"/>
          <w:bCs/>
        </w:rPr>
        <w:t>.</w:t>
      </w:r>
    </w:p>
    <w:p w:rsidR="00FB30D2" w:rsidRPr="00FB30D2" w:rsidRDefault="00FB30D2" w:rsidP="00FB30D2">
      <w:pPr>
        <w:tabs>
          <w:tab w:val="left" w:pos="1134"/>
        </w:tabs>
        <w:spacing w:line="360" w:lineRule="auto"/>
        <w:ind w:right="-1"/>
        <w:jc w:val="both"/>
        <w:rPr>
          <w:rFonts w:eastAsia="Times New Roman" w:cs="Times New Roman"/>
          <w:bCs/>
        </w:rPr>
      </w:pPr>
      <w:r w:rsidRPr="00FB30D2">
        <w:rPr>
          <w:rFonts w:eastAsia="Times New Roman" w:cs="Times New Roman"/>
          <w:bCs/>
        </w:rPr>
        <w:t>I pazienti che devono essere valutati per una terapia sperimentale, avendo dato consenso a questa valutazione, vengono inviati da qualsiasi Gruppo Oncologico Multidisciplinare (GOM) ai GOM degli altri centri per la stessa patologia per essere valutati per una terapia sperimentale (incluso studi clinici di fase I).  La richiesta giunge contemporaneamente a tutti gli altri GOM della patologia e ai centri di fase 1 aggiunti nel sistema. I GOM e i centri di fase 1 potranno prendere in carico la richiesta per valutare i criteri per l’arruolamento.  Questa fase non dovrà superare i 5 giorni. Se il paziente non è arruolabile per i criteri di inclusione la richiesta viene rimessa in rete per eventuali altri protocolli di altri GOM utilizzando il tasto rimetti in rete.</w:t>
      </w:r>
    </w:p>
    <w:p w:rsidR="00FB30D2" w:rsidRPr="00FB30D2" w:rsidRDefault="00FB30D2" w:rsidP="00FB30D2">
      <w:pPr>
        <w:tabs>
          <w:tab w:val="left" w:pos="1134"/>
        </w:tabs>
        <w:spacing w:line="360" w:lineRule="auto"/>
        <w:ind w:right="-1"/>
        <w:jc w:val="both"/>
        <w:rPr>
          <w:rFonts w:eastAsia="Times New Roman" w:cs="Times New Roman"/>
          <w:bCs/>
        </w:rPr>
      </w:pPr>
      <w:r w:rsidRPr="00FB30D2">
        <w:rPr>
          <w:rFonts w:eastAsia="Times New Roman" w:cs="Times New Roman"/>
          <w:bCs/>
        </w:rPr>
        <w:t xml:space="preserve">La richiesta del GOM avviene con la compilazione di una scheda di segnalazione ed allegando il verbale del GOM. </w:t>
      </w:r>
    </w:p>
    <w:p w:rsidR="00FB30D2" w:rsidRPr="00FB30D2" w:rsidRDefault="00FB30D2" w:rsidP="00FB30D2">
      <w:pPr>
        <w:tabs>
          <w:tab w:val="left" w:pos="1134"/>
        </w:tabs>
        <w:spacing w:line="360" w:lineRule="auto"/>
        <w:ind w:right="-1"/>
        <w:jc w:val="both"/>
        <w:rPr>
          <w:rFonts w:eastAsia="Times New Roman" w:cs="Times New Roman"/>
          <w:bCs/>
        </w:rPr>
      </w:pPr>
      <w:r w:rsidRPr="00FB30D2">
        <w:rPr>
          <w:rFonts w:eastAsia="Times New Roman" w:cs="Times New Roman"/>
          <w:bCs/>
        </w:rPr>
        <w:t>Nella scheda i campi richiesti sono:</w:t>
      </w:r>
    </w:p>
    <w:p w:rsidR="00FB30D2" w:rsidRPr="00FB30D2" w:rsidRDefault="00FB30D2" w:rsidP="00FB30D2">
      <w:pPr>
        <w:numPr>
          <w:ilvl w:val="0"/>
          <w:numId w:val="21"/>
        </w:numPr>
        <w:tabs>
          <w:tab w:val="left" w:pos="1134"/>
        </w:tabs>
        <w:spacing w:after="160" w:line="360" w:lineRule="auto"/>
        <w:ind w:right="-1"/>
        <w:jc w:val="both"/>
        <w:rPr>
          <w:rFonts w:eastAsia="Times New Roman" w:cs="Times New Roman"/>
          <w:b/>
        </w:rPr>
      </w:pPr>
      <w:r w:rsidRPr="00FB30D2">
        <w:rPr>
          <w:rFonts w:eastAsia="Times New Roman" w:cs="Times New Roman"/>
          <w:b/>
        </w:rPr>
        <w:t>Il n° linee di trattamento precedenti</w:t>
      </w:r>
    </w:p>
    <w:p w:rsidR="00FB30D2" w:rsidRPr="00FB30D2" w:rsidRDefault="00FB30D2" w:rsidP="00FB30D2">
      <w:pPr>
        <w:numPr>
          <w:ilvl w:val="0"/>
          <w:numId w:val="21"/>
        </w:numPr>
        <w:tabs>
          <w:tab w:val="left" w:pos="1134"/>
        </w:tabs>
        <w:spacing w:after="160" w:line="360" w:lineRule="auto"/>
        <w:ind w:right="-1"/>
        <w:jc w:val="both"/>
        <w:rPr>
          <w:rFonts w:eastAsia="Times New Roman" w:cs="Times New Roman"/>
          <w:b/>
        </w:rPr>
      </w:pPr>
      <w:r w:rsidRPr="00FB30D2">
        <w:rPr>
          <w:rFonts w:eastAsia="Times New Roman" w:cs="Times New Roman"/>
          <w:b/>
        </w:rPr>
        <w:t>Le condizioni cliniche del paziente (performance status ECOG)</w:t>
      </w:r>
    </w:p>
    <w:p w:rsidR="00FB30D2" w:rsidRPr="00FB30D2" w:rsidRDefault="00FB30D2" w:rsidP="00FB30D2">
      <w:pPr>
        <w:numPr>
          <w:ilvl w:val="0"/>
          <w:numId w:val="21"/>
        </w:numPr>
        <w:tabs>
          <w:tab w:val="left" w:pos="1134"/>
        </w:tabs>
        <w:spacing w:after="160" w:line="360" w:lineRule="auto"/>
        <w:ind w:right="-1"/>
        <w:jc w:val="both"/>
        <w:rPr>
          <w:rFonts w:eastAsia="Times New Roman" w:cs="Times New Roman"/>
          <w:b/>
        </w:rPr>
      </w:pPr>
      <w:r w:rsidRPr="00FB30D2">
        <w:rPr>
          <w:rFonts w:eastAsia="Times New Roman" w:cs="Times New Roman"/>
          <w:b/>
        </w:rPr>
        <w:t>Eventuali comorbidità</w:t>
      </w:r>
    </w:p>
    <w:p w:rsidR="00FB30D2" w:rsidRPr="00FB30D2" w:rsidRDefault="00FB30D2" w:rsidP="00FB30D2">
      <w:pPr>
        <w:numPr>
          <w:ilvl w:val="0"/>
          <w:numId w:val="21"/>
        </w:numPr>
        <w:tabs>
          <w:tab w:val="left" w:pos="1134"/>
        </w:tabs>
        <w:spacing w:after="160" w:line="360" w:lineRule="auto"/>
        <w:ind w:right="-1"/>
        <w:jc w:val="both"/>
        <w:rPr>
          <w:rFonts w:eastAsia="Times New Roman" w:cs="Times New Roman"/>
          <w:b/>
        </w:rPr>
      </w:pPr>
      <w:r w:rsidRPr="00FB30D2">
        <w:rPr>
          <w:rFonts w:eastAsia="Times New Roman" w:cs="Times New Roman"/>
          <w:b/>
        </w:rPr>
        <w:t>Candidabile ad una terapia standard.  (il case manager che lo prende in carico per l'eventuale trial, nel caso di impossibilità ad arruolarlo, rinvia il paziente al centro di provenienza.</w:t>
      </w:r>
    </w:p>
    <w:p w:rsidR="00FB30D2" w:rsidRPr="00FB30D2" w:rsidRDefault="00FB30D2" w:rsidP="00FB30D2">
      <w:pPr>
        <w:numPr>
          <w:ilvl w:val="0"/>
          <w:numId w:val="21"/>
        </w:numPr>
        <w:tabs>
          <w:tab w:val="left" w:pos="1134"/>
        </w:tabs>
        <w:spacing w:after="160" w:line="360" w:lineRule="auto"/>
        <w:ind w:right="-1"/>
        <w:jc w:val="both"/>
        <w:rPr>
          <w:rFonts w:eastAsia="Times New Roman" w:cs="Times New Roman"/>
          <w:b/>
        </w:rPr>
      </w:pPr>
      <w:r w:rsidRPr="00FB30D2">
        <w:rPr>
          <w:rFonts w:eastAsia="Times New Roman" w:cs="Times New Roman"/>
          <w:b/>
        </w:rPr>
        <w:t xml:space="preserve">Metastasi cerebrali </w:t>
      </w:r>
    </w:p>
    <w:p w:rsidR="00FB30D2" w:rsidRPr="00FB30D2" w:rsidRDefault="00FB30D2" w:rsidP="00FB30D2">
      <w:pPr>
        <w:numPr>
          <w:ilvl w:val="0"/>
          <w:numId w:val="21"/>
        </w:numPr>
        <w:tabs>
          <w:tab w:val="left" w:pos="1134"/>
        </w:tabs>
        <w:spacing w:after="160" w:line="360" w:lineRule="auto"/>
        <w:ind w:right="-1"/>
        <w:jc w:val="both"/>
        <w:rPr>
          <w:rFonts w:eastAsia="Times New Roman" w:cs="Times New Roman"/>
          <w:b/>
        </w:rPr>
      </w:pPr>
      <w:r w:rsidRPr="00FB30D2">
        <w:rPr>
          <w:rFonts w:eastAsia="Times New Roman" w:cs="Times New Roman"/>
          <w:b/>
        </w:rPr>
        <w:t>Disponibile NGS (se è già noto lo stato di MSI e/o altri "target")</w:t>
      </w:r>
    </w:p>
    <w:p w:rsidR="00FB30D2" w:rsidRPr="00FB30D2" w:rsidRDefault="00FB30D2" w:rsidP="00FB30D2">
      <w:pPr>
        <w:tabs>
          <w:tab w:val="left" w:pos="1134"/>
        </w:tabs>
        <w:spacing w:line="360" w:lineRule="auto"/>
        <w:ind w:right="-1"/>
        <w:jc w:val="both"/>
        <w:rPr>
          <w:rFonts w:eastAsia="Times New Roman" w:cs="Times New Roman"/>
          <w:bCs/>
        </w:rPr>
      </w:pPr>
      <w:r w:rsidRPr="00FB30D2">
        <w:rPr>
          <w:rFonts w:eastAsia="Times New Roman" w:cs="Times New Roman"/>
          <w:bCs/>
        </w:rPr>
        <w:t xml:space="preserve">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 </w:t>
      </w:r>
    </w:p>
    <w:p w:rsidR="00FB30D2" w:rsidRPr="00FB30D2" w:rsidRDefault="00FB30D2" w:rsidP="00FB30D2">
      <w:pPr>
        <w:tabs>
          <w:tab w:val="left" w:pos="1134"/>
        </w:tabs>
        <w:spacing w:line="360" w:lineRule="auto"/>
        <w:ind w:right="-1"/>
        <w:jc w:val="both"/>
        <w:rPr>
          <w:rFonts w:eastAsia="Times New Roman" w:cs="Times New Roman"/>
          <w:bCs/>
        </w:rPr>
      </w:pPr>
      <w:r w:rsidRPr="00FB30D2">
        <w:rPr>
          <w:rFonts w:eastAsia="Times New Roman" w:cs="Times New Roman"/>
          <w:b/>
        </w:rPr>
        <w:t xml:space="preserve">I </w:t>
      </w:r>
      <w:r w:rsidRPr="00FB30D2">
        <w:rPr>
          <w:rFonts w:eastAsia="Times New Roman" w:cs="Times New Roman"/>
          <w:b/>
          <w:lang w:val="x-none"/>
        </w:rPr>
        <w:t xml:space="preserve">Centri </w:t>
      </w:r>
      <w:r w:rsidRPr="00FB30D2">
        <w:rPr>
          <w:rFonts w:eastAsia="Times New Roman" w:cs="Times New Roman"/>
          <w:b/>
        </w:rPr>
        <w:t xml:space="preserve">di Fase I </w:t>
      </w:r>
      <w:r w:rsidRPr="00FB30D2">
        <w:rPr>
          <w:rFonts w:eastAsia="Times New Roman" w:cs="Times New Roman"/>
          <w:bCs/>
        </w:rPr>
        <w:t>sono</w:t>
      </w:r>
      <w:r w:rsidRPr="00FB30D2">
        <w:rPr>
          <w:rFonts w:eastAsia="Times New Roman" w:cs="Times New Roman"/>
          <w:b/>
        </w:rPr>
        <w:t>:</w:t>
      </w:r>
      <w:r w:rsidRPr="00FB30D2">
        <w:rPr>
          <w:rFonts w:eastAsia="Times New Roman" w:cs="Times New Roman"/>
          <w:bCs/>
        </w:rPr>
        <w:t xml:space="preserve"> A.O.U. Federico II, I.N.T. Fondazione G. Pascale e A.O.U. Vanvitelli</w:t>
      </w:r>
    </w:p>
    <w:p w:rsidR="00FB30D2" w:rsidRPr="00FB30D2" w:rsidRDefault="00FB30D2" w:rsidP="00FB30D2">
      <w:pPr>
        <w:tabs>
          <w:tab w:val="left" w:pos="1134"/>
        </w:tabs>
        <w:spacing w:line="360" w:lineRule="auto"/>
        <w:ind w:right="-1"/>
        <w:jc w:val="both"/>
        <w:rPr>
          <w:rFonts w:eastAsia="Times New Roman" w:cs="Times New Roman"/>
          <w:bCs/>
        </w:rPr>
      </w:pPr>
      <w:r w:rsidRPr="00FB30D2">
        <w:rPr>
          <w:rFonts w:eastAsia="Times New Roman" w:cs="Times New Roman"/>
          <w:bCs/>
          <w:noProof/>
        </w:rPr>
        <w:drawing>
          <wp:inline distT="0" distB="0" distL="0" distR="0" wp14:anchorId="62C9703D" wp14:editId="64E3B710">
            <wp:extent cx="6120130" cy="4908637"/>
            <wp:effectExtent l="0" t="0" r="0" b="6350"/>
            <wp:docPr id="2" name="Immagine 2"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908637"/>
                    </a:xfrm>
                    <a:prstGeom prst="rect">
                      <a:avLst/>
                    </a:prstGeom>
                    <a:noFill/>
                    <a:ln>
                      <a:noFill/>
                    </a:ln>
                  </pic:spPr>
                </pic:pic>
              </a:graphicData>
            </a:graphic>
          </wp:inline>
        </w:drawing>
      </w:r>
    </w:p>
    <w:p w:rsidR="00FB30D2" w:rsidRPr="00FB30D2" w:rsidRDefault="00FB30D2" w:rsidP="00FB30D2">
      <w:pPr>
        <w:tabs>
          <w:tab w:val="left" w:pos="1134"/>
        </w:tabs>
        <w:spacing w:line="360" w:lineRule="auto"/>
        <w:ind w:right="-1"/>
        <w:jc w:val="both"/>
        <w:rPr>
          <w:rFonts w:eastAsia="Times New Roman" w:cs="Times New Roman"/>
          <w:bCs/>
        </w:rPr>
      </w:pPr>
    </w:p>
    <w:p w:rsidR="00FB30D2" w:rsidRDefault="00FB30D2"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Default="009D5227" w:rsidP="00FB30D2">
      <w:pPr>
        <w:tabs>
          <w:tab w:val="left" w:pos="9356"/>
        </w:tabs>
        <w:spacing w:line="360" w:lineRule="auto"/>
        <w:ind w:right="466"/>
        <w:jc w:val="both"/>
        <w:rPr>
          <w:rFonts w:eastAsia="Times New Roman" w:cs="Times New Roman"/>
          <w:b/>
        </w:rPr>
      </w:pPr>
    </w:p>
    <w:p w:rsidR="009D5227" w:rsidRPr="00FB30D2" w:rsidRDefault="009D5227" w:rsidP="00FB30D2">
      <w:pPr>
        <w:tabs>
          <w:tab w:val="left" w:pos="9356"/>
        </w:tabs>
        <w:spacing w:line="360" w:lineRule="auto"/>
        <w:ind w:right="466"/>
        <w:jc w:val="both"/>
        <w:rPr>
          <w:rFonts w:eastAsia="Times New Roman" w:cs="Times New Roman"/>
        </w:rPr>
      </w:pPr>
    </w:p>
    <w:p w:rsidR="00FB30D2" w:rsidRPr="00FB30D2" w:rsidRDefault="00FB30D2" w:rsidP="00FB30D2">
      <w:pPr>
        <w:spacing w:line="360" w:lineRule="auto"/>
        <w:jc w:val="both"/>
        <w:rPr>
          <w:rFonts w:cs="Times New Roman"/>
          <w:b/>
        </w:rPr>
      </w:pPr>
      <w:r w:rsidRPr="00FB30D2">
        <w:rPr>
          <w:rFonts w:cs="Times New Roman"/>
          <w:b/>
        </w:rPr>
        <w:t>Eredo Familiare</w:t>
      </w:r>
    </w:p>
    <w:p w:rsidR="00FB30D2" w:rsidRPr="00FB30D2" w:rsidRDefault="00FB30D2" w:rsidP="00FB30D2">
      <w:pPr>
        <w:spacing w:line="360" w:lineRule="auto"/>
        <w:jc w:val="both"/>
        <w:rPr>
          <w:rFonts w:cs="Times New Roman"/>
          <w:b/>
        </w:rPr>
      </w:pPr>
      <w:r w:rsidRPr="00FB30D2">
        <w:rPr>
          <w:rFonts w:cs="Times New Roman"/>
        </w:rPr>
        <w:t xml:space="preserve">La Rete Oncologica Campana ha istituito il GOM per i tumori Eredo Familiari per le seguenti patologie: </w:t>
      </w:r>
      <w:r w:rsidRPr="00FB30D2">
        <w:rPr>
          <w:rFonts w:cs="Times New Roman"/>
          <w:b/>
        </w:rPr>
        <w:t xml:space="preserve">colon, mammella, ovaio, pancreas, prostata, endometrio, melanoma. </w:t>
      </w:r>
    </w:p>
    <w:p w:rsidR="00FB30D2" w:rsidRPr="00FB30D2" w:rsidRDefault="00FB30D2" w:rsidP="00FB30D2">
      <w:pPr>
        <w:spacing w:line="360" w:lineRule="auto"/>
        <w:jc w:val="both"/>
        <w:rPr>
          <w:rFonts w:cs="Times New Roman"/>
        </w:rPr>
      </w:pPr>
      <w:r w:rsidRPr="00FB30D2">
        <w:rPr>
          <w:rFonts w:cs="Times New Roman"/>
        </w:rPr>
        <w:t>In piattaforma è possibile inserire e discutere al GOM Eredo Familiare anche i pazienti ancora in fase di valutazione da parte del GOM patologia specifico. I MMG possono inviare ai GOM TEF i casi sospetti e le famiglie sospette</w:t>
      </w: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r w:rsidRPr="00FB30D2">
        <w:rPr>
          <w:rFonts w:cs="Times New Roman"/>
          <w:noProof/>
        </w:rPr>
        <w:drawing>
          <wp:inline distT="0" distB="0" distL="0" distR="0" wp14:anchorId="25149929" wp14:editId="224475C4">
            <wp:extent cx="5079365" cy="3282176"/>
            <wp:effectExtent l="0" t="0" r="6985"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3963" cy="3285147"/>
                    </a:xfrm>
                    <a:prstGeom prst="rect">
                      <a:avLst/>
                    </a:prstGeom>
                  </pic:spPr>
                </pic:pic>
              </a:graphicData>
            </a:graphic>
          </wp:inline>
        </w:drawing>
      </w:r>
    </w:p>
    <w:p w:rsidR="00FB30D2" w:rsidRPr="00FB30D2" w:rsidRDefault="00FB30D2" w:rsidP="00FB30D2">
      <w:pPr>
        <w:spacing w:line="360" w:lineRule="auto"/>
        <w:jc w:val="both"/>
        <w:rPr>
          <w:rFonts w:eastAsia="Calibri" w:cs="Times New Roman"/>
          <w:b/>
        </w:rPr>
      </w:pPr>
    </w:p>
    <w:p w:rsidR="00FB30D2" w:rsidRPr="00FB30D2" w:rsidRDefault="00FB30D2" w:rsidP="00FB30D2">
      <w:pPr>
        <w:spacing w:line="360" w:lineRule="auto"/>
        <w:jc w:val="both"/>
        <w:rPr>
          <w:rFonts w:eastAsia="Calibri" w:cs="Times New Roman"/>
          <w:b/>
        </w:rPr>
      </w:pPr>
      <w:r w:rsidRPr="00FB30D2">
        <w:rPr>
          <w:rFonts w:eastAsia="Calibri" w:cs="Times New Roman"/>
          <w:b/>
        </w:rPr>
        <w:t xml:space="preserve">Valutazione nutrizionale e psico-oncologica </w:t>
      </w:r>
    </w:p>
    <w:p w:rsidR="00FB30D2" w:rsidRPr="00FB30D2" w:rsidRDefault="00FB30D2" w:rsidP="00FB30D2">
      <w:pPr>
        <w:spacing w:line="360" w:lineRule="auto"/>
        <w:jc w:val="both"/>
        <w:rPr>
          <w:rFonts w:eastAsia="Calibri" w:cs="Times New Roman"/>
        </w:rPr>
      </w:pPr>
      <w:r w:rsidRPr="00FB30D2">
        <w:rPr>
          <w:rFonts w:eastAsia="Calibri" w:cs="Times New Roman"/>
        </w:rPr>
        <w:t>La presa in carico dei GOM deve avvenire in maniera olistica includendo anche l’aspetto psico-sociale e nutrizionale. La piattaforma ROC dà la possibilità di inserire nella sezione “allegati” la relazione nutrizionale e psicologica a testimonianza del percorso di screening previsto dai due PDTA specifici.</w:t>
      </w:r>
    </w:p>
    <w:p w:rsidR="00FB30D2" w:rsidRPr="00FB30D2" w:rsidRDefault="00FB30D2" w:rsidP="00FB30D2">
      <w:pPr>
        <w:spacing w:line="360" w:lineRule="auto"/>
        <w:jc w:val="both"/>
        <w:rPr>
          <w:rFonts w:eastAsia="Calibri" w:cs="Times New Roman"/>
        </w:rPr>
      </w:pPr>
      <w:r w:rsidRPr="00FB30D2">
        <w:rPr>
          <w:rFonts w:eastAsia="Calibri" w:cs="Times New Roman"/>
          <w:noProof/>
        </w:rPr>
        <w:drawing>
          <wp:inline distT="0" distB="0" distL="0" distR="0" wp14:anchorId="795B3194" wp14:editId="3A8A02B0">
            <wp:extent cx="5276850" cy="3388565"/>
            <wp:effectExtent l="0" t="0" r="0" b="2540"/>
            <wp:docPr id="35" name="Immagine 35"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e.derrico\Desktop\Cattur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4285" cy="3393339"/>
                    </a:xfrm>
                    <a:prstGeom prst="rect">
                      <a:avLst/>
                    </a:prstGeom>
                    <a:noFill/>
                    <a:ln>
                      <a:noFill/>
                    </a:ln>
                  </pic:spPr>
                </pic:pic>
              </a:graphicData>
            </a:graphic>
          </wp:inline>
        </w:drawing>
      </w:r>
    </w:p>
    <w:p w:rsidR="00FB30D2" w:rsidRPr="00FB30D2" w:rsidRDefault="00FB30D2" w:rsidP="00FB30D2">
      <w:pPr>
        <w:spacing w:line="360" w:lineRule="auto"/>
        <w:jc w:val="both"/>
        <w:rPr>
          <w:rFonts w:eastAsia="Calibri" w:cs="Times New Roman"/>
        </w:rPr>
      </w:pPr>
      <w:r w:rsidRPr="00FB30D2">
        <w:rPr>
          <w:rFonts w:eastAsia="Calibri" w:cs="Times New Roman"/>
          <w:noProof/>
        </w:rPr>
        <w:drawing>
          <wp:inline distT="0" distB="0" distL="0" distR="0" wp14:anchorId="5B95E098" wp14:editId="1FD60C13">
            <wp:extent cx="5372100" cy="3222625"/>
            <wp:effectExtent l="0" t="0" r="0" b="0"/>
            <wp:docPr id="36" name="Immagine 36" descr="C:\Users\davide.derrico\Desktop\Cat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e.derrico\Desktop\Cattur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2622" cy="3228937"/>
                    </a:xfrm>
                    <a:prstGeom prst="rect">
                      <a:avLst/>
                    </a:prstGeom>
                    <a:noFill/>
                    <a:ln>
                      <a:noFill/>
                    </a:ln>
                  </pic:spPr>
                </pic:pic>
              </a:graphicData>
            </a:graphic>
          </wp:inline>
        </w:drawing>
      </w:r>
    </w:p>
    <w:p w:rsidR="00FB30D2" w:rsidRDefault="00FB30D2" w:rsidP="00FB30D2">
      <w:pPr>
        <w:spacing w:line="360" w:lineRule="auto"/>
        <w:jc w:val="both"/>
        <w:rPr>
          <w:rFonts w:cs="Times New Roman"/>
          <w:b/>
        </w:rPr>
      </w:pPr>
    </w:p>
    <w:p w:rsidR="00FB30D2" w:rsidRDefault="00FB30D2" w:rsidP="00FB30D2">
      <w:pPr>
        <w:spacing w:line="360" w:lineRule="auto"/>
        <w:jc w:val="both"/>
        <w:rPr>
          <w:rFonts w:cs="Times New Roman"/>
          <w:b/>
        </w:rPr>
      </w:pPr>
    </w:p>
    <w:p w:rsidR="00FB30D2" w:rsidRDefault="00FB30D2" w:rsidP="00FB30D2">
      <w:pPr>
        <w:spacing w:line="360" w:lineRule="auto"/>
        <w:jc w:val="both"/>
        <w:rPr>
          <w:rFonts w:cs="Times New Roman"/>
          <w:b/>
        </w:rPr>
      </w:pPr>
    </w:p>
    <w:p w:rsidR="00FB30D2" w:rsidRDefault="00FB30D2" w:rsidP="00FB30D2">
      <w:pPr>
        <w:spacing w:line="360" w:lineRule="auto"/>
        <w:jc w:val="both"/>
        <w:rPr>
          <w:rFonts w:cs="Times New Roman"/>
          <w:b/>
        </w:rPr>
      </w:pPr>
    </w:p>
    <w:p w:rsidR="00FB30D2" w:rsidRDefault="00FB30D2" w:rsidP="00FB30D2">
      <w:pPr>
        <w:spacing w:line="360" w:lineRule="auto"/>
        <w:jc w:val="both"/>
        <w:rPr>
          <w:rFonts w:cs="Times New Roman"/>
          <w:b/>
        </w:rPr>
      </w:pPr>
    </w:p>
    <w:p w:rsidR="00FB30D2" w:rsidRPr="00FB30D2" w:rsidRDefault="00FB30D2" w:rsidP="00FB30D2">
      <w:pPr>
        <w:spacing w:line="360" w:lineRule="auto"/>
        <w:jc w:val="both"/>
        <w:rPr>
          <w:rFonts w:cs="Times New Roman"/>
          <w:b/>
        </w:rPr>
      </w:pPr>
    </w:p>
    <w:p w:rsidR="00E91614" w:rsidRPr="00FB30D2" w:rsidRDefault="00E91614" w:rsidP="00FB30D2">
      <w:pPr>
        <w:spacing w:line="360" w:lineRule="auto"/>
        <w:jc w:val="both"/>
        <w:rPr>
          <w:rFonts w:cs="Times New Roman"/>
          <w:b/>
        </w:rPr>
      </w:pPr>
      <w:r w:rsidRPr="00FB30D2">
        <w:rPr>
          <w:rFonts w:cs="Times New Roman"/>
          <w:b/>
        </w:rPr>
        <w:t>Ruolo dei Medici di Medina Generale (MMG) nei GOM</w:t>
      </w:r>
    </w:p>
    <w:p w:rsidR="00E91614" w:rsidRPr="00FB30D2" w:rsidRDefault="00E91614" w:rsidP="00FB30D2">
      <w:pPr>
        <w:spacing w:line="360" w:lineRule="auto"/>
        <w:jc w:val="both"/>
        <w:rPr>
          <w:rFonts w:cs="Times New Roman"/>
        </w:rPr>
      </w:pPr>
      <w:r w:rsidRPr="00FB30D2">
        <w:rPr>
          <w:rFonts w:cs="Times New Roman"/>
        </w:rPr>
        <w:t>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rsidR="00E91614" w:rsidRPr="00FB30D2" w:rsidRDefault="00E91614" w:rsidP="00FB30D2">
      <w:pPr>
        <w:spacing w:line="360" w:lineRule="auto"/>
        <w:jc w:val="both"/>
        <w:rPr>
          <w:rFonts w:cs="Times New Roman"/>
        </w:rPr>
      </w:pPr>
      <w:r w:rsidRPr="00FB30D2">
        <w:rPr>
          <w:rFonts w:cs="Times New Roman"/>
        </w:rPr>
        <w:t>Tutti i MMG possono entrare a far parte della Rete Oncologica Campana (ROC) e ottenere le credenziali di accesso alla piattaforma ROC.</w:t>
      </w:r>
    </w:p>
    <w:p w:rsidR="00E91614" w:rsidRPr="00FB30D2" w:rsidRDefault="00E91614" w:rsidP="00FB30D2">
      <w:pPr>
        <w:spacing w:line="360" w:lineRule="auto"/>
        <w:jc w:val="both"/>
        <w:rPr>
          <w:rFonts w:cs="Times New Roman"/>
        </w:rPr>
      </w:pPr>
      <w:r w:rsidRPr="00FB30D2">
        <w:rPr>
          <w:rFonts w:cs="Times New Roman"/>
        </w:rPr>
        <w:t>Una volta ottenute le credenziali, essi potranno segnalare nuovi casi ai Gruppi Oncologici Multidisciplinari (GOM) della Rete.</w:t>
      </w:r>
    </w:p>
    <w:p w:rsidR="00E91614" w:rsidRPr="00FB30D2" w:rsidRDefault="00E91614" w:rsidP="00FB30D2">
      <w:pPr>
        <w:spacing w:line="360" w:lineRule="auto"/>
        <w:jc w:val="both"/>
        <w:rPr>
          <w:rFonts w:cs="Times New Roman"/>
        </w:rPr>
      </w:pPr>
      <w:r w:rsidRPr="00FB30D2">
        <w:rPr>
          <w:rFonts w:cs="Times New Roman"/>
        </w:rPr>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 a limitare decisamente il ritardo diagnostico e a indirizzare i pazienti verso i centri di riferimento.</w:t>
      </w:r>
    </w:p>
    <w:p w:rsidR="00E91614" w:rsidRPr="00FB30D2" w:rsidRDefault="00E91614" w:rsidP="00FB30D2">
      <w:pPr>
        <w:spacing w:line="360" w:lineRule="auto"/>
        <w:jc w:val="both"/>
        <w:rPr>
          <w:rFonts w:cs="Times New Roman"/>
        </w:rPr>
      </w:pPr>
      <w:r w:rsidRPr="00FB30D2">
        <w:rPr>
          <w:rFonts w:cs="Times New Roman"/>
        </w:rPr>
        <w:t>La presa in carico del paziente viene eseguita dal case manager entro sette giorni dalla segnalazione, ma il MMG può comunque sempre verificare l’avvenuta presa in carico di un proprio assistito attraverso la piattaforma ROC.</w:t>
      </w:r>
    </w:p>
    <w:p w:rsidR="00E91614" w:rsidRPr="00FB30D2" w:rsidRDefault="00E91614" w:rsidP="00FB30D2">
      <w:pPr>
        <w:spacing w:line="360" w:lineRule="auto"/>
        <w:jc w:val="both"/>
        <w:rPr>
          <w:rFonts w:cs="Times New Roman"/>
        </w:rPr>
      </w:pPr>
      <w:r w:rsidRPr="00FB30D2">
        <w:rPr>
          <w:rFonts w:cs="Times New Roman"/>
        </w:rPr>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rsidR="00E91614" w:rsidRPr="00FB30D2" w:rsidRDefault="00E91614" w:rsidP="00FB30D2">
      <w:pPr>
        <w:spacing w:line="360" w:lineRule="auto"/>
        <w:jc w:val="both"/>
        <w:rPr>
          <w:rFonts w:cs="Times New Roman"/>
        </w:rPr>
      </w:pPr>
      <w:r w:rsidRPr="00FB30D2">
        <w:rPr>
          <w:rFonts w:cs="Times New Roman"/>
        </w:rPr>
        <w:t>Qualora, però, il MMG non partecipi alla riunione multidisciplinare, può accedere tramite la piattaforma ROC, al verbale del GOM di un paziente segnalato da loro, venendo, pertanto, a conoscenza del percorso diagnostico-terapeutico che un proprio assistito dovrà intraprendere.</w:t>
      </w:r>
    </w:p>
    <w:p w:rsidR="00E91614" w:rsidRPr="00FB30D2" w:rsidRDefault="00E91614" w:rsidP="00FB30D2">
      <w:pPr>
        <w:spacing w:line="360" w:lineRule="auto"/>
        <w:jc w:val="both"/>
        <w:rPr>
          <w:rFonts w:cs="Times New Roman"/>
        </w:rPr>
      </w:pPr>
      <w:r w:rsidRPr="00FB30D2">
        <w:rPr>
          <w:rFonts w:cs="Times New Roman"/>
        </w:rPr>
        <w:t>La piattaforma ROC consente al case manager di attivare su indicazione medica l’assistenza domiciliare integrata (ADI). I servizi richiesti vengono presi in carico dall’ ASL e dal Distretto di afferenza del paziente. I MMG possono verificare a questo punto l’avvenuto presa in carico di un loro assistito da parte del territorio.</w:t>
      </w:r>
    </w:p>
    <w:p w:rsidR="00FB30D2" w:rsidRDefault="00FB30D2" w:rsidP="00FB30D2">
      <w:pPr>
        <w:spacing w:line="360" w:lineRule="auto"/>
        <w:jc w:val="both"/>
        <w:rPr>
          <w:rFonts w:cs="Times New Roman"/>
        </w:rPr>
      </w:pPr>
    </w:p>
    <w:p w:rsidR="00FB30D2" w:rsidRDefault="00FB30D2" w:rsidP="00FB30D2">
      <w:pPr>
        <w:spacing w:line="360" w:lineRule="auto"/>
        <w:jc w:val="both"/>
        <w:rPr>
          <w:rFonts w:cs="Times New Roman"/>
        </w:rPr>
      </w:pPr>
    </w:p>
    <w:p w:rsidR="00FB30D2" w:rsidRDefault="00FB30D2" w:rsidP="00FB30D2">
      <w:pPr>
        <w:spacing w:line="360" w:lineRule="auto"/>
        <w:jc w:val="both"/>
        <w:rPr>
          <w:rFonts w:cs="Times New Roman"/>
        </w:rPr>
      </w:pPr>
    </w:p>
    <w:p w:rsid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b/>
        </w:rPr>
      </w:pPr>
      <w:r w:rsidRPr="00FB30D2">
        <w:rPr>
          <w:rFonts w:cs="Times New Roman"/>
          <w:b/>
        </w:rPr>
        <w:t>Il case manager nella Rete Oncologica Campana</w:t>
      </w:r>
    </w:p>
    <w:p w:rsidR="00FB30D2" w:rsidRPr="00FB30D2" w:rsidRDefault="00FB30D2" w:rsidP="00FB30D2">
      <w:pPr>
        <w:spacing w:line="360" w:lineRule="auto"/>
        <w:jc w:val="both"/>
        <w:rPr>
          <w:rFonts w:cs="Times New Roman"/>
        </w:rPr>
      </w:pPr>
    </w:p>
    <w:p w:rsidR="00FB30D2" w:rsidRPr="00FB30D2" w:rsidRDefault="00FB30D2" w:rsidP="00FB30D2">
      <w:pPr>
        <w:spacing w:line="360" w:lineRule="auto"/>
        <w:jc w:val="both"/>
        <w:rPr>
          <w:rFonts w:cs="Times New Roman"/>
        </w:rPr>
      </w:pPr>
      <w:r w:rsidRPr="00FB30D2">
        <w:rPr>
          <w:rFonts w:cs="Times New Roman"/>
        </w:rPr>
        <w:t>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 del sistema sanitario. Il case manager è un professionista che coordina uno o più casi clinici a lui affidati. Esistono diversi profili professionali che ricoprono questo ruolo, ma dal 2023 tutti i nuovi case manager devono essere infermieri con specifica formazione e competenza.</w:t>
      </w:r>
    </w:p>
    <w:p w:rsidR="00FB30D2" w:rsidRPr="00FB30D2" w:rsidRDefault="00FB30D2" w:rsidP="00FB30D2">
      <w:pPr>
        <w:spacing w:line="360" w:lineRule="auto"/>
        <w:jc w:val="both"/>
        <w:rPr>
          <w:rFonts w:cs="Times New Roman"/>
        </w:rPr>
      </w:pPr>
      <w:r w:rsidRPr="00FB30D2">
        <w:rPr>
          <w:rFonts w:cs="Times New Roman"/>
        </w:rPr>
        <w:t xml:space="preserve">I case manager nella Rete Oncologica Campana svolgono una serie di attività fondamentali per il supporto ai pazienti oncologici, facilitando la comunicazione fra i vari specialisti coinvolti nel percorso di cura del paziente e assicurando che tutte le informazioni cliniche siano condivise tempestivamente tra i membri del gruppo oncologico multidisciplinare (GOM). </w:t>
      </w:r>
    </w:p>
    <w:p w:rsidR="00FB30D2" w:rsidRPr="00FB30D2" w:rsidRDefault="00FB30D2" w:rsidP="00FB30D2">
      <w:pPr>
        <w:spacing w:line="360" w:lineRule="auto"/>
        <w:jc w:val="both"/>
        <w:rPr>
          <w:rFonts w:cs="Times New Roman"/>
        </w:rPr>
      </w:pPr>
      <w:r w:rsidRPr="00FB30D2">
        <w:rPr>
          <w:rFonts w:cs="Times New Roman"/>
        </w:rPr>
        <w:t>Sono il portale di accesso per le richieste di presa in carico che vengono inviate, tramite la piattaforma ROC, dal territorio, dai Medici di Medicina Generale (MMG) e da altri specialisti in possesso delle credenziali ROC. Insieme ai medici, i case manager attivano la continuità territoriale o altri servizi offerti dalla piattaforma, garantendo così un percorso di cura integrato e pe</w:t>
      </w:r>
      <w:r w:rsidR="0051528C">
        <w:rPr>
          <w:rFonts w:cs="Times New Roman"/>
        </w:rPr>
        <w:t xml:space="preserve">rsonalizzato per ogni paziente. </w:t>
      </w:r>
      <w:r w:rsidRPr="00FB30D2">
        <w:rPr>
          <w:rFonts w:cs="Times New Roman"/>
        </w:rPr>
        <w:t>Il case manager si occupa della programmazione di esami richiesti dal Gruppo Oncologico Multidisciplinare (GOM), della gestione riunioni multidisciplinare e della verifica della completezza delle schede relati</w:t>
      </w:r>
      <w:r w:rsidR="0051528C">
        <w:rPr>
          <w:rFonts w:cs="Times New Roman"/>
        </w:rPr>
        <w:t xml:space="preserve">ve ai pazienti da discutere. </w:t>
      </w:r>
    </w:p>
    <w:p w:rsidR="00FB30D2" w:rsidRPr="00FB30D2" w:rsidRDefault="00FB30D2" w:rsidP="00FB30D2">
      <w:pPr>
        <w:spacing w:line="360" w:lineRule="auto"/>
        <w:jc w:val="both"/>
        <w:rPr>
          <w:rFonts w:cs="Times New Roman"/>
        </w:rPr>
      </w:pPr>
      <w:r w:rsidRPr="00FB30D2">
        <w:rPr>
          <w:rFonts w:cs="Times New Roman"/>
        </w:rPr>
        <w:t>Il case manager rappresenta un punto di riferimento essenziale per i pazienti oncologici e le loro famiglie, garantendo un percorso di cu</w:t>
      </w:r>
      <w:r w:rsidR="0051528C">
        <w:rPr>
          <w:rFonts w:cs="Times New Roman"/>
        </w:rPr>
        <w:t xml:space="preserve">ra integrato e personalizzato. </w:t>
      </w:r>
    </w:p>
    <w:p w:rsidR="00FB30D2" w:rsidRPr="00FB30D2" w:rsidRDefault="00FB30D2" w:rsidP="00FB30D2">
      <w:pPr>
        <w:spacing w:line="360" w:lineRule="auto"/>
        <w:jc w:val="both"/>
        <w:rPr>
          <w:rFonts w:cs="Times New Roman"/>
        </w:rPr>
      </w:pPr>
      <w:r w:rsidRPr="00FB30D2">
        <w:rPr>
          <w:rFonts w:cs="Times New Roman"/>
        </w:rPr>
        <w:t>L’implementazione efficace dei case manager nella Rete Oncologica Campana, con un carico di lavoro stimato di un case manager ogni 150 pazienti discussi annualmente, non solo migliora la qualità dell’assistenza, ma contribuisce anche a ottimizzare l’uso delle risorse sanitarie, riducendo i tempi di attesa e migliorando gli esiti clinici.</w:t>
      </w:r>
    </w:p>
    <w:p w:rsidR="00FB30D2" w:rsidRPr="00FB30D2" w:rsidRDefault="00FB30D2" w:rsidP="00FB30D2">
      <w:pPr>
        <w:spacing w:line="360" w:lineRule="auto"/>
        <w:jc w:val="both"/>
        <w:rPr>
          <w:rFonts w:cs="Times New Roman"/>
        </w:rPr>
      </w:pPr>
      <w:r w:rsidRPr="00FB30D2">
        <w:rPr>
          <w:rFonts w:cs="Times New Roman"/>
        </w:rPr>
        <w:t>Corsi annuali di aggiornamento per i case manager sono tenuti annualmente dalla Rete Oncologica</w:t>
      </w:r>
    </w:p>
    <w:p w:rsidR="00FB30D2" w:rsidRPr="00FB30D2" w:rsidRDefault="00FB30D2" w:rsidP="00FB30D2">
      <w:pPr>
        <w:spacing w:line="360" w:lineRule="auto"/>
        <w:jc w:val="both"/>
        <w:rPr>
          <w:rFonts w:cs="Times New Roman"/>
        </w:rPr>
      </w:pPr>
    </w:p>
    <w:p w:rsidR="00E91614" w:rsidRPr="00FB30D2" w:rsidRDefault="00E91614" w:rsidP="00FB30D2">
      <w:pPr>
        <w:spacing w:line="360" w:lineRule="auto"/>
        <w:jc w:val="both"/>
        <w:rPr>
          <w:rFonts w:cs="Times New Roman"/>
        </w:rPr>
      </w:pPr>
    </w:p>
    <w:p w:rsidR="00ED7B5A" w:rsidRPr="00FB30D2" w:rsidRDefault="00ED7B5A" w:rsidP="00FB30D2">
      <w:pPr>
        <w:spacing w:line="360" w:lineRule="auto"/>
        <w:jc w:val="both"/>
        <w:rPr>
          <w:rFonts w:cs="Times New Roman"/>
        </w:rPr>
      </w:pPr>
    </w:p>
    <w:p w:rsidR="001F2F65" w:rsidRPr="00FB30D2" w:rsidRDefault="00ED7B5A" w:rsidP="00FB30D2">
      <w:pPr>
        <w:pStyle w:val="Titolo3"/>
        <w:rPr>
          <w:rFonts w:cs="Times New Roman"/>
          <w:color w:val="auto"/>
          <w:u w:val="none"/>
        </w:rPr>
      </w:pPr>
      <w:r w:rsidRPr="00FB30D2">
        <w:rPr>
          <w:rFonts w:cs="Times New Roman"/>
          <w:color w:val="auto"/>
          <w:u w:val="none"/>
        </w:rPr>
        <w:t>Tempi di presa in carico (in giorni lavorativi)</w:t>
      </w:r>
    </w:p>
    <w:p w:rsidR="00FB30D2" w:rsidRPr="00FB30D2" w:rsidRDefault="00FB30D2" w:rsidP="00FB30D2">
      <w:pPr>
        <w:pBdr>
          <w:top w:val="nil"/>
          <w:left w:val="nil"/>
          <w:bottom w:val="nil"/>
          <w:right w:val="nil"/>
          <w:between w:val="nil"/>
        </w:pBdr>
        <w:spacing w:line="360" w:lineRule="auto"/>
        <w:ind w:hanging="2"/>
        <w:jc w:val="both"/>
        <w:rPr>
          <w:rFonts w:eastAsia="Times New Roman" w:cs="Times New Roman"/>
          <w:b/>
          <w:color w:val="FF0000"/>
        </w:rPr>
      </w:pPr>
      <w:r w:rsidRPr="00FB30D2">
        <w:rPr>
          <w:rFonts w:eastAsia="Times New Roman" w:cs="Times New Roman"/>
          <w:b/>
          <w:color w:val="000000" w:themeColor="text1"/>
        </w:rPr>
        <w:t>I tempi indicati di seguito per il percorso del paziente sono da intendere come riferimenti teorici, suscettibili di modifiche in relazione alle caratteristiche cliniche del paziente e alla complessità diagnostica e all’offering delle Aziende della Rete Oncologica e dell’intero sistema regionale. Sono di seguito indicati al fine di monitorare i percorsi e di identificare eventuali azioni di miglioramento</w:t>
      </w:r>
    </w:p>
    <w:p w:rsidR="00FB30D2" w:rsidRPr="00FB30D2" w:rsidRDefault="00FB30D2" w:rsidP="00FB30D2">
      <w:pPr>
        <w:spacing w:line="360" w:lineRule="auto"/>
        <w:jc w:val="both"/>
        <w:rPr>
          <w:rFonts w:cs="Times New Roman"/>
        </w:rPr>
      </w:pPr>
    </w:p>
    <w:p w:rsidR="001F2F65" w:rsidRPr="00FB30D2" w:rsidRDefault="00ED7B5A" w:rsidP="00FB30D2">
      <w:pPr>
        <w:pStyle w:val="Paragrafoelenco"/>
        <w:numPr>
          <w:ilvl w:val="0"/>
          <w:numId w:val="5"/>
        </w:numPr>
        <w:tabs>
          <w:tab w:val="left" w:pos="330"/>
        </w:tabs>
        <w:spacing w:after="0" w:line="360" w:lineRule="auto"/>
        <w:ind w:left="330" w:hanging="330"/>
        <w:jc w:val="both"/>
        <w:rPr>
          <w:rFonts w:ascii="Times New Roman" w:eastAsia="Times New Roman" w:hAnsi="Times New Roman" w:cs="Times New Roman"/>
          <w:b/>
          <w:bCs/>
          <w:color w:val="auto"/>
          <w:sz w:val="24"/>
          <w:szCs w:val="24"/>
        </w:rPr>
      </w:pPr>
      <w:r w:rsidRPr="00FB30D2">
        <w:rPr>
          <w:rFonts w:ascii="Times New Roman" w:hAnsi="Times New Roman" w:cs="Times New Roman"/>
          <w:color w:val="auto"/>
          <w:sz w:val="24"/>
          <w:szCs w:val="24"/>
        </w:rPr>
        <w:t xml:space="preserve">Il primo accesso al GOM per tumore del colon avverrà tramite prenotazione effettuata dal MMG o altro medico specialista attraverso il sistema informatico della Rete Oncologica Campana </w:t>
      </w:r>
    </w:p>
    <w:p w:rsidR="001F2F65" w:rsidRPr="00FB30D2" w:rsidRDefault="00ED7B5A" w:rsidP="00FB30D2">
      <w:pPr>
        <w:pStyle w:val="Paragrafoelenco"/>
        <w:numPr>
          <w:ilvl w:val="0"/>
          <w:numId w:val="6"/>
        </w:numPr>
        <w:tabs>
          <w:tab w:val="left" w:pos="330"/>
        </w:tabs>
        <w:spacing w:after="0" w:line="360" w:lineRule="auto"/>
        <w:ind w:left="330" w:hanging="330"/>
        <w:jc w:val="both"/>
        <w:rPr>
          <w:rFonts w:ascii="Times New Roman" w:eastAsia="Times New Roman" w:hAnsi="Times New Roman" w:cs="Times New Roman"/>
          <w:b/>
          <w:bCs/>
          <w:color w:val="auto"/>
          <w:sz w:val="24"/>
          <w:szCs w:val="24"/>
        </w:rPr>
      </w:pPr>
      <w:r w:rsidRPr="00FB30D2">
        <w:rPr>
          <w:rFonts w:ascii="Times New Roman" w:hAnsi="Times New Roman" w:cs="Times New Roman"/>
          <w:color w:val="auto"/>
          <w:sz w:val="24"/>
          <w:szCs w:val="24"/>
        </w:rPr>
        <w:t xml:space="preserve">La prima visita da parte del GOM che prende in carico il paziente sarà erogata </w:t>
      </w:r>
      <w:r w:rsidRPr="00FB30D2">
        <w:rPr>
          <w:rFonts w:ascii="Times New Roman" w:hAnsi="Times New Roman" w:cs="Times New Roman"/>
          <w:b/>
          <w:bCs/>
          <w:color w:val="auto"/>
          <w:sz w:val="24"/>
          <w:szCs w:val="24"/>
        </w:rPr>
        <w:t>entro 7 giorni lavorativi</w:t>
      </w:r>
      <w:r w:rsidRPr="00FB30D2">
        <w:rPr>
          <w:rFonts w:ascii="Times New Roman" w:hAnsi="Times New Roman" w:cs="Times New Roman"/>
          <w:color w:val="auto"/>
          <w:sz w:val="24"/>
          <w:szCs w:val="24"/>
        </w:rPr>
        <w:t xml:space="preserve">. </w:t>
      </w:r>
    </w:p>
    <w:p w:rsidR="001F2F65" w:rsidRPr="00FB30D2" w:rsidRDefault="00ED7B5A" w:rsidP="00FB30D2">
      <w:pPr>
        <w:pStyle w:val="Paragrafoelenco"/>
        <w:numPr>
          <w:ilvl w:val="0"/>
          <w:numId w:val="7"/>
        </w:numPr>
        <w:tabs>
          <w:tab w:val="left" w:pos="330"/>
        </w:tabs>
        <w:spacing w:after="0" w:line="360" w:lineRule="auto"/>
        <w:ind w:left="330" w:hanging="330"/>
        <w:jc w:val="both"/>
        <w:rPr>
          <w:rFonts w:ascii="Times New Roman" w:eastAsia="Times New Roman" w:hAnsi="Times New Roman" w:cs="Times New Roman"/>
          <w:b/>
          <w:bCs/>
          <w:color w:val="auto"/>
          <w:sz w:val="24"/>
          <w:szCs w:val="24"/>
        </w:rPr>
      </w:pPr>
      <w:r w:rsidRPr="00FB30D2">
        <w:rPr>
          <w:rFonts w:ascii="Times New Roman" w:hAnsi="Times New Roman" w:cs="Times New Roman"/>
          <w:color w:val="auto"/>
          <w:sz w:val="24"/>
          <w:szCs w:val="24"/>
        </w:rPr>
        <w:t xml:space="preserve">Il GOM si riunirà per la discussione dei casi clinici </w:t>
      </w:r>
      <w:r w:rsidRPr="00FB30D2">
        <w:rPr>
          <w:rFonts w:ascii="Times New Roman" w:hAnsi="Times New Roman" w:cs="Times New Roman"/>
          <w:b/>
          <w:bCs/>
          <w:color w:val="auto"/>
          <w:sz w:val="24"/>
          <w:szCs w:val="24"/>
        </w:rPr>
        <w:t>almeno una volta a settimana</w:t>
      </w:r>
      <w:r w:rsidRPr="00FB30D2">
        <w:rPr>
          <w:rFonts w:ascii="Times New Roman" w:hAnsi="Times New Roman" w:cs="Times New Roman"/>
          <w:color w:val="auto"/>
          <w:sz w:val="24"/>
          <w:szCs w:val="24"/>
        </w:rPr>
        <w:t xml:space="preserve">  </w:t>
      </w:r>
    </w:p>
    <w:p w:rsidR="001F2F65" w:rsidRPr="00FB30D2" w:rsidRDefault="00ED7B5A" w:rsidP="00FB30D2">
      <w:pPr>
        <w:pStyle w:val="Paragrafoelenco"/>
        <w:numPr>
          <w:ilvl w:val="0"/>
          <w:numId w:val="8"/>
        </w:numPr>
        <w:tabs>
          <w:tab w:val="left" w:pos="330"/>
        </w:tabs>
        <w:spacing w:after="0" w:line="360" w:lineRule="auto"/>
        <w:ind w:left="330" w:hanging="330"/>
        <w:jc w:val="both"/>
        <w:rPr>
          <w:rFonts w:ascii="Times New Roman" w:eastAsia="Times New Roman" w:hAnsi="Times New Roman" w:cs="Times New Roman"/>
          <w:b/>
          <w:bCs/>
          <w:color w:val="auto"/>
          <w:sz w:val="24"/>
          <w:szCs w:val="24"/>
        </w:rPr>
      </w:pPr>
      <w:r w:rsidRPr="00FB30D2">
        <w:rPr>
          <w:rFonts w:ascii="Times New Roman" w:hAnsi="Times New Roman" w:cs="Times New Roman"/>
          <w:b/>
          <w:bCs/>
          <w:color w:val="auto"/>
          <w:sz w:val="24"/>
          <w:szCs w:val="24"/>
        </w:rPr>
        <w:t>Entro ulteriori 15 giorni</w:t>
      </w:r>
      <w:r w:rsidRPr="00FB30D2">
        <w:rPr>
          <w:rFonts w:ascii="Times New Roman" w:hAnsi="Times New Roman" w:cs="Times New Roman"/>
          <w:color w:val="auto"/>
          <w:sz w:val="24"/>
          <w:szCs w:val="24"/>
        </w:rPr>
        <w:t xml:space="preserve"> dalla prima visita dovrà essere completata la stadiazione strumentale del tumore, qualora non già disponibile al momento della prima visita.</w:t>
      </w:r>
    </w:p>
    <w:p w:rsidR="001F2F65" w:rsidRPr="00FB30D2" w:rsidRDefault="00ED7B5A" w:rsidP="00FB30D2">
      <w:pPr>
        <w:pStyle w:val="Paragrafoelenco"/>
        <w:numPr>
          <w:ilvl w:val="0"/>
          <w:numId w:val="9"/>
        </w:numPr>
        <w:tabs>
          <w:tab w:val="left" w:pos="330"/>
        </w:tabs>
        <w:spacing w:after="0" w:line="360" w:lineRule="auto"/>
        <w:ind w:left="330" w:hanging="330"/>
        <w:jc w:val="both"/>
        <w:rPr>
          <w:rFonts w:ascii="Times New Roman" w:eastAsia="Times New Roman" w:hAnsi="Times New Roman" w:cs="Times New Roman"/>
          <w:b/>
          <w:bCs/>
          <w:color w:val="auto"/>
          <w:sz w:val="24"/>
          <w:szCs w:val="24"/>
        </w:rPr>
      </w:pPr>
      <w:r w:rsidRPr="00FB30D2">
        <w:rPr>
          <w:rFonts w:ascii="Times New Roman" w:hAnsi="Times New Roman" w:cs="Times New Roman"/>
          <w:color w:val="auto"/>
          <w:sz w:val="24"/>
          <w:szCs w:val="24"/>
        </w:rPr>
        <w:t>Qualora una diagnosi di certezza istologica non fosse stata eseguita prima della Presa in Carico da parte del GOM, intervento chirurgico sarà effettuato</w:t>
      </w:r>
      <w:r w:rsidRPr="00FB30D2">
        <w:rPr>
          <w:rFonts w:ascii="Times New Roman" w:hAnsi="Times New Roman" w:cs="Times New Roman"/>
          <w:b/>
          <w:bCs/>
          <w:color w:val="auto"/>
          <w:sz w:val="24"/>
          <w:szCs w:val="24"/>
        </w:rPr>
        <w:t xml:space="preserve"> entro i 30 giorni successivi</w:t>
      </w:r>
      <w:r w:rsidRPr="00FB30D2">
        <w:rPr>
          <w:rFonts w:ascii="Times New Roman" w:hAnsi="Times New Roman" w:cs="Times New Roman"/>
          <w:color w:val="auto"/>
          <w:sz w:val="24"/>
          <w:szCs w:val="24"/>
        </w:rPr>
        <w:t xml:space="preserve"> alla visita multidisciplinare che ne avrà posto l’indicazione. </w:t>
      </w:r>
    </w:p>
    <w:p w:rsidR="001F2F65" w:rsidRPr="00FB30D2" w:rsidRDefault="00ED7B5A" w:rsidP="00FB30D2">
      <w:pPr>
        <w:pStyle w:val="Paragrafoelenco"/>
        <w:numPr>
          <w:ilvl w:val="0"/>
          <w:numId w:val="10"/>
        </w:numPr>
        <w:tabs>
          <w:tab w:val="left" w:pos="330"/>
        </w:tabs>
        <w:spacing w:after="0" w:line="360" w:lineRule="auto"/>
        <w:ind w:left="330" w:hanging="330"/>
        <w:jc w:val="both"/>
        <w:rPr>
          <w:rFonts w:ascii="Times New Roman" w:eastAsia="Times New Roman" w:hAnsi="Times New Roman" w:cs="Times New Roman"/>
          <w:b/>
          <w:bCs/>
          <w:color w:val="auto"/>
          <w:sz w:val="24"/>
          <w:szCs w:val="24"/>
        </w:rPr>
      </w:pPr>
      <w:r w:rsidRPr="00FB30D2">
        <w:rPr>
          <w:rFonts w:ascii="Times New Roman" w:hAnsi="Times New Roman" w:cs="Times New Roman"/>
          <w:color w:val="auto"/>
          <w:sz w:val="24"/>
          <w:szCs w:val="24"/>
        </w:rPr>
        <w:t xml:space="preserve">Il referto istologico sarà disponibile </w:t>
      </w:r>
      <w:r w:rsidRPr="00FB30D2">
        <w:rPr>
          <w:rFonts w:ascii="Times New Roman" w:hAnsi="Times New Roman" w:cs="Times New Roman"/>
          <w:b/>
          <w:bCs/>
          <w:color w:val="auto"/>
          <w:sz w:val="24"/>
          <w:szCs w:val="24"/>
        </w:rPr>
        <w:t xml:space="preserve">entro 15 giorni dall’intervento. </w:t>
      </w:r>
    </w:p>
    <w:p w:rsidR="001F2F65" w:rsidRPr="00FB30D2" w:rsidRDefault="00ED7B5A" w:rsidP="00FB30D2">
      <w:pPr>
        <w:pStyle w:val="Paragrafoelenco"/>
        <w:numPr>
          <w:ilvl w:val="0"/>
          <w:numId w:val="11"/>
        </w:numPr>
        <w:tabs>
          <w:tab w:val="left" w:pos="330"/>
        </w:tabs>
        <w:spacing w:after="0" w:line="360" w:lineRule="auto"/>
        <w:ind w:left="330" w:hanging="330"/>
        <w:jc w:val="both"/>
        <w:rPr>
          <w:rFonts w:ascii="Times New Roman" w:eastAsia="Times New Roman" w:hAnsi="Times New Roman" w:cs="Times New Roman"/>
          <w:b/>
          <w:bCs/>
          <w:color w:val="auto"/>
          <w:sz w:val="24"/>
          <w:szCs w:val="24"/>
        </w:rPr>
      </w:pPr>
      <w:r w:rsidRPr="00FB30D2">
        <w:rPr>
          <w:rFonts w:ascii="Times New Roman" w:hAnsi="Times New Roman" w:cs="Times New Roman"/>
          <w:color w:val="auto"/>
          <w:sz w:val="24"/>
          <w:szCs w:val="24"/>
        </w:rPr>
        <w:t xml:space="preserve">Al completamento della fase diagnostico-stadiativa il GOM definirà e programmerà il prosieguo del percorso clinico </w:t>
      </w:r>
      <w:r w:rsidRPr="00FB30D2">
        <w:rPr>
          <w:rFonts w:ascii="Times New Roman" w:hAnsi="Times New Roman" w:cs="Times New Roman"/>
          <w:b/>
          <w:bCs/>
          <w:color w:val="auto"/>
          <w:sz w:val="24"/>
          <w:szCs w:val="24"/>
        </w:rPr>
        <w:t>entro 7 giorni</w:t>
      </w:r>
      <w:r w:rsidRPr="00FB30D2">
        <w:rPr>
          <w:rFonts w:ascii="Times New Roman" w:hAnsi="Times New Roman" w:cs="Times New Roman"/>
          <w:color w:val="auto"/>
          <w:sz w:val="24"/>
          <w:szCs w:val="24"/>
        </w:rPr>
        <w:t xml:space="preserve">; se ritenuto opportuno il CORP/CORPUS farà riferimento alla Rete Oncologica per una </w:t>
      </w:r>
      <w:r w:rsidRPr="00FB30D2">
        <w:rPr>
          <w:rFonts w:ascii="Times New Roman" w:hAnsi="Times New Roman" w:cs="Times New Roman"/>
          <w:i/>
          <w:iCs/>
          <w:color w:val="auto"/>
          <w:sz w:val="24"/>
          <w:szCs w:val="24"/>
        </w:rPr>
        <w:t>second opinion.</w:t>
      </w:r>
    </w:p>
    <w:p w:rsidR="00ED476D" w:rsidRPr="00FB30D2" w:rsidRDefault="00ED7B5A" w:rsidP="00FB30D2">
      <w:pPr>
        <w:pStyle w:val="Paragrafoelenco"/>
        <w:numPr>
          <w:ilvl w:val="0"/>
          <w:numId w:val="12"/>
        </w:numPr>
        <w:tabs>
          <w:tab w:val="left" w:pos="330"/>
        </w:tabs>
        <w:spacing w:after="0" w:line="360" w:lineRule="auto"/>
        <w:ind w:left="330" w:hanging="330"/>
        <w:jc w:val="both"/>
        <w:rPr>
          <w:rFonts w:ascii="Times New Roman" w:eastAsia="Times New Roman" w:hAnsi="Times New Roman" w:cs="Times New Roman"/>
          <w:b/>
          <w:bCs/>
          <w:color w:val="auto"/>
          <w:sz w:val="24"/>
          <w:szCs w:val="24"/>
        </w:rPr>
      </w:pPr>
      <w:r w:rsidRPr="00FB30D2">
        <w:rPr>
          <w:rFonts w:ascii="Times New Roman" w:hAnsi="Times New Roman" w:cs="Times New Roman"/>
          <w:color w:val="auto"/>
          <w:sz w:val="24"/>
          <w:szCs w:val="24"/>
        </w:rPr>
        <w:t xml:space="preserve">L’inizio di un’eventuale chemioterapia o altra terapia sistemica prevista dovrà avvenire </w:t>
      </w:r>
      <w:r w:rsidRPr="00FB30D2">
        <w:rPr>
          <w:rFonts w:ascii="Times New Roman" w:hAnsi="Times New Roman" w:cs="Times New Roman"/>
          <w:b/>
          <w:bCs/>
          <w:color w:val="auto"/>
          <w:sz w:val="24"/>
          <w:szCs w:val="24"/>
        </w:rPr>
        <w:t>entro 40 giorni</w:t>
      </w:r>
      <w:r w:rsidRPr="00FB30D2">
        <w:rPr>
          <w:rFonts w:ascii="Times New Roman" w:hAnsi="Times New Roman" w:cs="Times New Roman"/>
          <w:color w:val="auto"/>
          <w:sz w:val="24"/>
          <w:szCs w:val="24"/>
        </w:rPr>
        <w:t xml:space="preserve"> dall’intervento chirurgico. </w:t>
      </w:r>
    </w:p>
    <w:p w:rsidR="00ED476D" w:rsidRPr="00FB30D2" w:rsidRDefault="00ED476D" w:rsidP="00FB30D2">
      <w:pPr>
        <w:tabs>
          <w:tab w:val="left" w:pos="330"/>
        </w:tabs>
        <w:spacing w:line="360" w:lineRule="auto"/>
        <w:jc w:val="both"/>
        <w:rPr>
          <w:rFonts w:eastAsia="Times New Roman" w:cs="Times New Roman"/>
          <w:b/>
          <w:bCs/>
          <w:color w:val="auto"/>
        </w:rPr>
      </w:pPr>
    </w:p>
    <w:p w:rsidR="00ED476D" w:rsidRPr="00FB30D2" w:rsidRDefault="00ED476D" w:rsidP="00FB30D2">
      <w:pPr>
        <w:tabs>
          <w:tab w:val="left" w:pos="330"/>
        </w:tabs>
        <w:spacing w:line="360" w:lineRule="auto"/>
        <w:jc w:val="both"/>
        <w:rPr>
          <w:rFonts w:eastAsia="Times New Roman" w:cs="Times New Roman"/>
          <w:b/>
          <w:bCs/>
          <w:color w:val="auto"/>
        </w:rPr>
      </w:pPr>
    </w:p>
    <w:p w:rsidR="00ED476D" w:rsidRPr="00FB30D2" w:rsidRDefault="00ED476D" w:rsidP="00FB30D2">
      <w:pPr>
        <w:tabs>
          <w:tab w:val="left" w:pos="1055"/>
        </w:tabs>
        <w:spacing w:line="360" w:lineRule="auto"/>
        <w:jc w:val="both"/>
        <w:rPr>
          <w:rFonts w:cs="Times New Roman"/>
          <w:b/>
          <w:color w:val="auto"/>
        </w:rPr>
      </w:pPr>
      <w:r w:rsidRPr="00FB30D2">
        <w:rPr>
          <w:rFonts w:cs="Times New Roman"/>
          <w:b/>
          <w:color w:val="auto"/>
        </w:rPr>
        <w:t>Per il presente PDTA si è tenuto conto delle più recenti linee guida nazionali (AIOM) ed internazionali (ESMO, NCCN, EAU).</w:t>
      </w:r>
    </w:p>
    <w:p w:rsidR="00ED476D" w:rsidRPr="00FB30D2" w:rsidRDefault="00ED476D" w:rsidP="00FB30D2">
      <w:pPr>
        <w:tabs>
          <w:tab w:val="left" w:pos="330"/>
        </w:tabs>
        <w:spacing w:line="360" w:lineRule="auto"/>
        <w:jc w:val="both"/>
        <w:rPr>
          <w:rFonts w:eastAsia="Times New Roman" w:cs="Times New Roman"/>
          <w:b/>
          <w:bCs/>
          <w:color w:val="auto"/>
        </w:rPr>
      </w:pPr>
    </w:p>
    <w:p w:rsidR="00244B13" w:rsidRPr="00FB30D2" w:rsidRDefault="00244B13" w:rsidP="00FB30D2">
      <w:pPr>
        <w:spacing w:line="360" w:lineRule="auto"/>
        <w:jc w:val="both"/>
        <w:rPr>
          <w:rFonts w:cs="Times New Roman"/>
          <w:b/>
          <w:color w:val="auto"/>
        </w:rPr>
      </w:pPr>
    </w:p>
    <w:p w:rsidR="00E91614" w:rsidRDefault="00E91614" w:rsidP="00FB30D2">
      <w:pPr>
        <w:spacing w:line="360" w:lineRule="auto"/>
        <w:jc w:val="both"/>
        <w:rPr>
          <w:rFonts w:cs="Times New Roman"/>
          <w:b/>
          <w:color w:val="auto"/>
        </w:rPr>
      </w:pPr>
    </w:p>
    <w:p w:rsidR="0051528C" w:rsidRDefault="0051528C" w:rsidP="00FB30D2">
      <w:pPr>
        <w:spacing w:line="360" w:lineRule="auto"/>
        <w:jc w:val="both"/>
        <w:rPr>
          <w:rFonts w:cs="Times New Roman"/>
          <w:b/>
          <w:color w:val="auto"/>
        </w:rPr>
      </w:pPr>
    </w:p>
    <w:p w:rsidR="0051528C" w:rsidRPr="00FB30D2" w:rsidRDefault="0051528C" w:rsidP="00FB30D2">
      <w:pPr>
        <w:spacing w:line="360" w:lineRule="auto"/>
        <w:jc w:val="both"/>
        <w:rPr>
          <w:rFonts w:cs="Times New Roman"/>
          <w:b/>
          <w:color w:val="auto"/>
        </w:rPr>
      </w:pPr>
    </w:p>
    <w:p w:rsidR="001F2F65" w:rsidRPr="00FB30D2" w:rsidRDefault="00ED7B5A" w:rsidP="00FB30D2">
      <w:pPr>
        <w:spacing w:line="360" w:lineRule="auto"/>
        <w:jc w:val="both"/>
        <w:rPr>
          <w:rFonts w:cs="Times New Roman"/>
          <w:b/>
          <w:color w:val="auto"/>
        </w:rPr>
      </w:pPr>
      <w:r w:rsidRPr="00FB30D2">
        <w:rPr>
          <w:rFonts w:cs="Times New Roman"/>
          <w:b/>
          <w:color w:val="auto"/>
        </w:rPr>
        <w:t>Piano di revisione del PDTA</w:t>
      </w:r>
    </w:p>
    <w:p w:rsidR="001F2F65" w:rsidRPr="00FB30D2" w:rsidRDefault="001F2F65" w:rsidP="00FB30D2">
      <w:pPr>
        <w:spacing w:line="360" w:lineRule="auto"/>
        <w:jc w:val="both"/>
        <w:rPr>
          <w:rFonts w:cs="Times New Roman"/>
          <w:color w:val="auto"/>
        </w:rPr>
      </w:pPr>
    </w:p>
    <w:tbl>
      <w:tblPr>
        <w:tblW w:w="9622" w:type="dxa"/>
        <w:tblLook w:val="04A0" w:firstRow="1" w:lastRow="0" w:firstColumn="1" w:lastColumn="0" w:noHBand="0" w:noVBand="1"/>
      </w:tblPr>
      <w:tblGrid>
        <w:gridCol w:w="3539"/>
        <w:gridCol w:w="6083"/>
      </w:tblGrid>
      <w:tr w:rsidR="001F2F65" w:rsidRPr="00FB30D2" w:rsidTr="00E477C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1F2F65" w:rsidRPr="00FB30D2" w:rsidRDefault="00ED7B5A" w:rsidP="0051528C">
            <w:pPr>
              <w:jc w:val="both"/>
              <w:rPr>
                <w:rFonts w:cs="Times New Roman"/>
                <w:color w:val="auto"/>
              </w:rPr>
            </w:pPr>
            <w:r w:rsidRPr="00FB30D2">
              <w:rPr>
                <w:rFonts w:cs="Times New Roman"/>
                <w:color w:val="auto"/>
              </w:rPr>
              <w:t>Coordinamento piano PDTA ROC</w:t>
            </w:r>
          </w:p>
        </w:tc>
        <w:tc>
          <w:tcPr>
            <w:tcW w:w="6083" w:type="dxa"/>
            <w:tcBorders>
              <w:top w:val="single" w:sz="4" w:space="0" w:color="000000"/>
              <w:left w:val="single" w:sz="4" w:space="0" w:color="000000"/>
              <w:bottom w:val="single" w:sz="4" w:space="0" w:color="000000"/>
              <w:right w:val="single" w:sz="4" w:space="0" w:color="000000"/>
            </w:tcBorders>
            <w:shd w:val="clear" w:color="auto" w:fill="auto"/>
          </w:tcPr>
          <w:p w:rsidR="001F2F65" w:rsidRPr="00FB30D2" w:rsidRDefault="00ED7B5A" w:rsidP="0051528C">
            <w:pPr>
              <w:jc w:val="both"/>
              <w:rPr>
                <w:rFonts w:cs="Times New Roman"/>
                <w:color w:val="auto"/>
              </w:rPr>
            </w:pPr>
            <w:r w:rsidRPr="00FB30D2">
              <w:rPr>
                <w:rFonts w:cs="Times New Roman"/>
                <w:color w:val="auto"/>
              </w:rPr>
              <w:t>Sandro Pignata</w:t>
            </w:r>
            <w:r w:rsidR="00E477CC">
              <w:rPr>
                <w:rFonts w:cs="Times New Roman"/>
                <w:color w:val="auto"/>
              </w:rPr>
              <w:t>, IRCCS Pascale</w:t>
            </w:r>
          </w:p>
        </w:tc>
      </w:tr>
      <w:tr w:rsidR="001F2F65" w:rsidRPr="00FB30D2" w:rsidTr="00E477C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1F2F65" w:rsidRPr="00FB30D2" w:rsidRDefault="00ED7B5A" w:rsidP="0051528C">
            <w:pPr>
              <w:jc w:val="both"/>
              <w:rPr>
                <w:rFonts w:cs="Times New Roman"/>
                <w:color w:val="auto"/>
              </w:rPr>
            </w:pPr>
            <w:r w:rsidRPr="00FB30D2">
              <w:rPr>
                <w:rFonts w:cs="Times New Roman"/>
                <w:color w:val="auto"/>
              </w:rPr>
              <w:t>Primi estensori</w:t>
            </w:r>
          </w:p>
        </w:tc>
        <w:tc>
          <w:tcPr>
            <w:tcW w:w="6083" w:type="dxa"/>
            <w:tcBorders>
              <w:top w:val="single" w:sz="4" w:space="0" w:color="000000"/>
              <w:left w:val="single" w:sz="4" w:space="0" w:color="000000"/>
              <w:bottom w:val="single" w:sz="4" w:space="0" w:color="000000"/>
              <w:right w:val="single" w:sz="4" w:space="0" w:color="000000"/>
            </w:tcBorders>
            <w:shd w:val="clear" w:color="auto" w:fill="auto"/>
          </w:tcPr>
          <w:p w:rsidR="0017750F" w:rsidRPr="00FB30D2" w:rsidRDefault="00ED7B5A" w:rsidP="0051528C">
            <w:pPr>
              <w:jc w:val="both"/>
              <w:rPr>
                <w:rFonts w:cs="Times New Roman"/>
                <w:color w:val="auto"/>
              </w:rPr>
            </w:pPr>
            <w:r w:rsidRPr="00FB30D2">
              <w:rPr>
                <w:rFonts w:cs="Times New Roman"/>
                <w:color w:val="auto"/>
              </w:rPr>
              <w:t>F. Ciardiello, B. Da</w:t>
            </w:r>
            <w:r w:rsidR="0051528C">
              <w:rPr>
                <w:rFonts w:cs="Times New Roman"/>
                <w:color w:val="auto"/>
              </w:rPr>
              <w:t>n</w:t>
            </w:r>
            <w:r w:rsidR="00244B13" w:rsidRPr="00FB30D2">
              <w:rPr>
                <w:rFonts w:cs="Times New Roman"/>
                <w:color w:val="auto"/>
              </w:rPr>
              <w:t xml:space="preserve">iele, A. Avallone, </w:t>
            </w:r>
            <w:r w:rsidR="0051528C">
              <w:rPr>
                <w:rFonts w:cs="Times New Roman"/>
                <w:color w:val="auto"/>
              </w:rPr>
              <w:t xml:space="preserve">E. Martinelli, </w:t>
            </w:r>
            <w:r w:rsidR="0051528C" w:rsidRPr="00FB30D2">
              <w:rPr>
                <w:rFonts w:cs="Times New Roman"/>
                <w:color w:val="auto"/>
              </w:rPr>
              <w:t xml:space="preserve">M.Muto, M. Coccaro </w:t>
            </w:r>
            <w:r w:rsidR="0051528C">
              <w:rPr>
                <w:rFonts w:cs="Times New Roman"/>
                <w:color w:val="auto"/>
              </w:rPr>
              <w:t>P. Delrio</w:t>
            </w:r>
            <w:r w:rsidR="0017750F" w:rsidRPr="00FB30D2">
              <w:rPr>
                <w:rFonts w:cs="Times New Roman"/>
                <w:color w:val="auto"/>
              </w:rPr>
              <w:t>,</w:t>
            </w:r>
            <w:r w:rsidR="00B53C3C" w:rsidRPr="00FB30D2">
              <w:rPr>
                <w:rFonts w:cs="Times New Roman"/>
                <w:color w:val="auto"/>
              </w:rPr>
              <w:t xml:space="preserve"> G.Facchini,</w:t>
            </w:r>
            <w:r w:rsidR="0017750F" w:rsidRPr="00FB30D2">
              <w:rPr>
                <w:rFonts w:cs="Times New Roman"/>
                <w:color w:val="auto"/>
              </w:rPr>
              <w:t xml:space="preserve"> </w:t>
            </w:r>
            <w:r w:rsidR="0051528C" w:rsidRPr="0051528C">
              <w:rPr>
                <w:rFonts w:cs="Times New Roman"/>
                <w:color w:val="auto"/>
              </w:rPr>
              <w:t>C. Carlomagno</w:t>
            </w:r>
            <w:r w:rsidR="0051528C">
              <w:rPr>
                <w:rFonts w:cs="Times New Roman"/>
                <w:color w:val="auto"/>
              </w:rPr>
              <w:t xml:space="preserve">, </w:t>
            </w:r>
            <w:r w:rsidR="0017750F" w:rsidRPr="00FB30D2">
              <w:rPr>
                <w:rFonts w:cs="Times New Roman"/>
                <w:color w:val="auto"/>
              </w:rPr>
              <w:t>M. Laringe</w:t>
            </w:r>
            <w:r w:rsidR="0051528C">
              <w:rPr>
                <w:rFonts w:cs="Times New Roman"/>
                <w:color w:val="auto"/>
              </w:rPr>
              <w:t>,</w:t>
            </w:r>
          </w:p>
          <w:p w:rsidR="001F2F65" w:rsidRPr="00FB30D2" w:rsidRDefault="0017750F" w:rsidP="0051528C">
            <w:pPr>
              <w:jc w:val="both"/>
              <w:rPr>
                <w:rFonts w:cs="Times New Roman"/>
                <w:color w:val="auto"/>
              </w:rPr>
            </w:pPr>
            <w:r w:rsidRPr="00FB30D2">
              <w:rPr>
                <w:rFonts w:cs="Times New Roman"/>
                <w:color w:val="auto"/>
              </w:rPr>
              <w:t>L. Di Donato</w:t>
            </w:r>
          </w:p>
        </w:tc>
      </w:tr>
      <w:tr w:rsidR="0051528C" w:rsidRPr="00FB30D2" w:rsidTr="00E477C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51528C">
            <w:pPr>
              <w:pBdr>
                <w:top w:val="nil"/>
                <w:left w:val="nil"/>
                <w:bottom w:val="nil"/>
                <w:right w:val="nil"/>
                <w:between w:val="nil"/>
              </w:pBdr>
            </w:pPr>
            <w:r w:rsidRPr="0041137B">
              <w:t>Seconda valutazione</w:t>
            </w:r>
          </w:p>
        </w:tc>
        <w:tc>
          <w:tcPr>
            <w:tcW w:w="6083"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51528C">
            <w:pPr>
              <w:pBdr>
                <w:top w:val="nil"/>
                <w:left w:val="nil"/>
                <w:bottom w:val="nil"/>
                <w:right w:val="nil"/>
                <w:between w:val="nil"/>
              </w:pBdr>
            </w:pPr>
            <w:r w:rsidRPr="0041137B">
              <w:t>Tutti i referenti per la ROC dei CORP-CORPUS e ASL</w:t>
            </w:r>
          </w:p>
          <w:p w:rsidR="0051528C" w:rsidRPr="0041137B" w:rsidRDefault="0051528C" w:rsidP="00444526">
            <w:pPr>
              <w:pBdr>
                <w:top w:val="nil"/>
                <w:left w:val="nil"/>
                <w:bottom w:val="nil"/>
                <w:right w:val="nil"/>
                <w:between w:val="nil"/>
              </w:pBdr>
              <w:spacing w:before="53"/>
            </w:pPr>
            <w:r w:rsidRPr="0041137B">
              <w:t>Ferdinando Riccardi, A.O.</w:t>
            </w:r>
            <w:r w:rsidR="00BB5ED4">
              <w:t>R.N.</w:t>
            </w:r>
            <w:r w:rsidRPr="0041137B">
              <w:t xml:space="preserve"> Cardarelli</w:t>
            </w:r>
          </w:p>
          <w:p w:rsidR="0051528C" w:rsidRPr="0041137B" w:rsidRDefault="0051528C" w:rsidP="00444526">
            <w:pPr>
              <w:pBdr>
                <w:top w:val="nil"/>
                <w:left w:val="nil"/>
                <w:bottom w:val="nil"/>
                <w:right w:val="nil"/>
                <w:between w:val="nil"/>
              </w:pBdr>
              <w:spacing w:before="53"/>
            </w:pPr>
            <w:r w:rsidRPr="0041137B">
              <w:t>Vincenzo Montesarchio</w:t>
            </w:r>
            <w:r w:rsidR="00BB5ED4" w:rsidRPr="0041137B">
              <w:t xml:space="preserve"> </w:t>
            </w:r>
            <w:r w:rsidR="00BB5ED4" w:rsidRPr="0041137B">
              <w:t>A.O.</w:t>
            </w:r>
            <w:r w:rsidR="00BB5ED4">
              <w:t>R.N.</w:t>
            </w:r>
            <w:r w:rsidR="00BB5ED4" w:rsidRPr="0041137B">
              <w:t xml:space="preserve"> </w:t>
            </w:r>
            <w:r w:rsidRPr="0041137B">
              <w:t>Dei Colli</w:t>
            </w:r>
          </w:p>
          <w:p w:rsidR="0051528C" w:rsidRPr="0041137B" w:rsidRDefault="0051528C" w:rsidP="00444526">
            <w:pPr>
              <w:pBdr>
                <w:top w:val="nil"/>
                <w:left w:val="nil"/>
                <w:bottom w:val="nil"/>
                <w:right w:val="nil"/>
                <w:between w:val="nil"/>
              </w:pBdr>
              <w:spacing w:before="53"/>
            </w:pPr>
            <w:r w:rsidRPr="0041137B">
              <w:t xml:space="preserve">Cesare Gridelli, </w:t>
            </w:r>
            <w:r w:rsidR="00BB5ED4" w:rsidRPr="0041137B">
              <w:t>A.O.</w:t>
            </w:r>
            <w:r w:rsidR="00BB5ED4">
              <w:t>R.N.</w:t>
            </w:r>
            <w:r w:rsidR="00BB5ED4" w:rsidRPr="0041137B">
              <w:t xml:space="preserve"> </w:t>
            </w:r>
            <w:r w:rsidRPr="0041137B">
              <w:t xml:space="preserve"> Moscati</w:t>
            </w:r>
          </w:p>
          <w:p w:rsidR="0051528C" w:rsidRPr="0041137B" w:rsidRDefault="0051528C" w:rsidP="00444526">
            <w:pPr>
              <w:pBdr>
                <w:top w:val="nil"/>
                <w:left w:val="nil"/>
                <w:bottom w:val="nil"/>
                <w:right w:val="nil"/>
                <w:between w:val="nil"/>
              </w:pBdr>
              <w:spacing w:before="53"/>
            </w:pPr>
            <w:r w:rsidRPr="0041137B">
              <w:t xml:space="preserve">Antonio Grimaldi, </w:t>
            </w:r>
            <w:r w:rsidR="00BB5ED4" w:rsidRPr="0041137B">
              <w:t>A.O.</w:t>
            </w:r>
            <w:r w:rsidR="00BB5ED4">
              <w:t>R.N.</w:t>
            </w:r>
            <w:r w:rsidR="00BB5ED4" w:rsidRPr="0041137B">
              <w:t xml:space="preserve"> </w:t>
            </w:r>
            <w:r w:rsidRPr="0041137B">
              <w:t>Rummo San Pio</w:t>
            </w:r>
          </w:p>
          <w:p w:rsidR="0051528C" w:rsidRPr="0041137B" w:rsidRDefault="0051528C" w:rsidP="00444526">
            <w:pPr>
              <w:pBdr>
                <w:top w:val="nil"/>
                <w:left w:val="nil"/>
                <w:bottom w:val="nil"/>
                <w:right w:val="nil"/>
                <w:between w:val="nil"/>
              </w:pBdr>
              <w:spacing w:before="53"/>
            </w:pPr>
            <w:r w:rsidRPr="0041137B">
              <w:t xml:space="preserve">Michele Orditura, </w:t>
            </w:r>
            <w:r w:rsidR="00BB5ED4" w:rsidRPr="0041137B">
              <w:t>A.O.</w:t>
            </w:r>
            <w:r w:rsidR="00BB5ED4">
              <w:t>R.N.</w:t>
            </w:r>
            <w:r w:rsidR="00BB5ED4" w:rsidRPr="0041137B">
              <w:t xml:space="preserve"> </w:t>
            </w:r>
            <w:r w:rsidRPr="0041137B">
              <w:t>S. Anna S. Sebastiano</w:t>
            </w:r>
          </w:p>
          <w:p w:rsidR="0051528C" w:rsidRPr="0041137B" w:rsidRDefault="0051528C" w:rsidP="00444526">
            <w:pPr>
              <w:pBdr>
                <w:top w:val="nil"/>
                <w:left w:val="nil"/>
                <w:bottom w:val="nil"/>
                <w:right w:val="nil"/>
                <w:between w:val="nil"/>
              </w:pBdr>
              <w:spacing w:before="53"/>
            </w:pPr>
            <w:r w:rsidRPr="0041137B">
              <w:t>Fortunato Ciardiello, A.O.U. Luigi Vanvitelli</w:t>
            </w:r>
          </w:p>
          <w:p w:rsidR="0051528C" w:rsidRPr="0041137B" w:rsidRDefault="0051528C" w:rsidP="00444526">
            <w:pPr>
              <w:pBdr>
                <w:top w:val="nil"/>
                <w:left w:val="nil"/>
                <w:bottom w:val="nil"/>
                <w:right w:val="nil"/>
                <w:between w:val="nil"/>
              </w:pBdr>
              <w:spacing w:before="53"/>
            </w:pPr>
            <w:r>
              <w:t>Stefano Pepe</w:t>
            </w:r>
            <w:r w:rsidRPr="0041137B">
              <w:t>, A.O.U. Ruggi</w:t>
            </w:r>
          </w:p>
          <w:p w:rsidR="0051528C" w:rsidRPr="0041137B" w:rsidRDefault="0051528C" w:rsidP="00444526">
            <w:pPr>
              <w:pBdr>
                <w:top w:val="nil"/>
                <w:left w:val="nil"/>
                <w:bottom w:val="nil"/>
                <w:right w:val="nil"/>
                <w:between w:val="nil"/>
              </w:pBdr>
              <w:spacing w:before="53"/>
            </w:pPr>
            <w:r w:rsidRPr="0041137B">
              <w:t>Bruno Daniele, Ospedale del Mare</w:t>
            </w:r>
          </w:p>
          <w:p w:rsidR="0051528C" w:rsidRPr="0041137B" w:rsidRDefault="0051528C" w:rsidP="00444526">
            <w:pPr>
              <w:pBdr>
                <w:top w:val="nil"/>
                <w:left w:val="nil"/>
                <w:bottom w:val="nil"/>
                <w:right w:val="nil"/>
                <w:between w:val="nil"/>
              </w:pBdr>
              <w:spacing w:before="53"/>
            </w:pPr>
            <w:r w:rsidRPr="0041137B">
              <w:t>Roberto Bianco,</w:t>
            </w:r>
            <w:r w:rsidR="00BB5ED4" w:rsidRPr="0041137B">
              <w:t xml:space="preserve"> </w:t>
            </w:r>
            <w:r w:rsidR="00BB5ED4" w:rsidRPr="0041137B">
              <w:t xml:space="preserve">A.O.U. </w:t>
            </w:r>
            <w:r w:rsidRPr="0041137B">
              <w:t>Federico II</w:t>
            </w:r>
          </w:p>
          <w:p w:rsidR="0051528C" w:rsidRPr="0041137B" w:rsidRDefault="0051528C" w:rsidP="00444526">
            <w:pPr>
              <w:pBdr>
                <w:top w:val="nil"/>
                <w:left w:val="nil"/>
                <w:bottom w:val="nil"/>
                <w:right w:val="nil"/>
                <w:between w:val="nil"/>
              </w:pBdr>
              <w:spacing w:before="53"/>
            </w:pPr>
            <w:r w:rsidRPr="0041137B">
              <w:t xml:space="preserve">Gaetano Facchini.  Ospedale Santa Maria delle Grazie Pozzuoli </w:t>
            </w:r>
          </w:p>
          <w:p w:rsidR="0051528C" w:rsidRPr="0041137B" w:rsidRDefault="0051528C" w:rsidP="00444526">
            <w:pPr>
              <w:pBdr>
                <w:top w:val="nil"/>
                <w:left w:val="nil"/>
                <w:bottom w:val="nil"/>
                <w:right w:val="nil"/>
                <w:between w:val="nil"/>
              </w:pBdr>
              <w:spacing w:before="53"/>
            </w:pPr>
            <w:r w:rsidRPr="0041137B">
              <w:t>Bruno Marra e Rodolfo Cangiano, ASL Caserta</w:t>
            </w:r>
          </w:p>
          <w:p w:rsidR="0051528C" w:rsidRPr="0041137B" w:rsidRDefault="0051528C" w:rsidP="00444526">
            <w:pPr>
              <w:pBdr>
                <w:top w:val="nil"/>
                <w:left w:val="nil"/>
                <w:bottom w:val="nil"/>
                <w:right w:val="nil"/>
                <w:between w:val="nil"/>
              </w:pBdr>
              <w:spacing w:before="53"/>
            </w:pPr>
            <w:r w:rsidRPr="0041137B">
              <w:t>Filomena Sibilio, ASL Napoli 2</w:t>
            </w:r>
            <w:r>
              <w:t xml:space="preserve"> Nord</w:t>
            </w:r>
          </w:p>
          <w:p w:rsidR="0051528C" w:rsidRPr="0041137B" w:rsidRDefault="0051528C" w:rsidP="00444526">
            <w:pPr>
              <w:pBdr>
                <w:top w:val="nil"/>
                <w:left w:val="nil"/>
                <w:bottom w:val="nil"/>
                <w:right w:val="nil"/>
                <w:between w:val="nil"/>
              </w:pBdr>
              <w:spacing w:before="53"/>
            </w:pPr>
            <w:r w:rsidRPr="00D91692">
              <w:t>Gino Leo, ASL Napoli 3 Sud</w:t>
            </w:r>
          </w:p>
          <w:p w:rsidR="0051528C" w:rsidRPr="0041137B" w:rsidRDefault="0051528C" w:rsidP="00444526">
            <w:pPr>
              <w:pBdr>
                <w:top w:val="nil"/>
                <w:left w:val="nil"/>
                <w:bottom w:val="nil"/>
                <w:right w:val="nil"/>
                <w:between w:val="nil"/>
              </w:pBdr>
              <w:spacing w:before="53"/>
            </w:pPr>
            <w:r w:rsidRPr="0041137B">
              <w:t>Giuseppe Di Lorenzo, ASL Salerno</w:t>
            </w:r>
          </w:p>
          <w:p w:rsidR="0051528C" w:rsidRPr="0041137B" w:rsidRDefault="0051528C" w:rsidP="00444526">
            <w:pPr>
              <w:pBdr>
                <w:top w:val="nil"/>
                <w:left w:val="nil"/>
                <w:bottom w:val="nil"/>
                <w:right w:val="nil"/>
                <w:between w:val="nil"/>
              </w:pBdr>
              <w:spacing w:before="53"/>
            </w:pPr>
            <w:r w:rsidRPr="0041137B">
              <w:t>Tiziana Spinosa, ASL Napoli 1</w:t>
            </w:r>
            <w:r>
              <w:t xml:space="preserve"> Centro</w:t>
            </w:r>
          </w:p>
          <w:p w:rsidR="0051528C" w:rsidRPr="0041137B" w:rsidRDefault="0051528C" w:rsidP="00444526">
            <w:pPr>
              <w:pBdr>
                <w:top w:val="nil"/>
                <w:left w:val="nil"/>
                <w:bottom w:val="nil"/>
                <w:right w:val="nil"/>
                <w:between w:val="nil"/>
              </w:pBdr>
              <w:spacing w:before="53"/>
            </w:pPr>
            <w:r w:rsidRPr="0041137B">
              <w:t>Elena Fossi, ASL Benevento</w:t>
            </w:r>
          </w:p>
        </w:tc>
      </w:tr>
      <w:tr w:rsidR="0051528C" w:rsidRPr="00FB30D2" w:rsidTr="00E477C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51528C">
            <w:pPr>
              <w:pBdr>
                <w:top w:val="nil"/>
                <w:left w:val="nil"/>
                <w:bottom w:val="nil"/>
                <w:right w:val="nil"/>
                <w:between w:val="nil"/>
              </w:pBdr>
            </w:pPr>
            <w:r w:rsidRPr="0041137B">
              <w:t>Terza valutazione</w:t>
            </w:r>
          </w:p>
        </w:tc>
        <w:tc>
          <w:tcPr>
            <w:tcW w:w="6083"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444526">
            <w:pPr>
              <w:pBdr>
                <w:top w:val="nil"/>
                <w:left w:val="nil"/>
                <w:bottom w:val="nil"/>
                <w:right w:val="nil"/>
                <w:between w:val="nil"/>
              </w:pBdr>
              <w:spacing w:before="1"/>
            </w:pPr>
            <w:r w:rsidRPr="0041137B">
              <w:t>Componenti dei team multidisciplinari nei</w:t>
            </w:r>
            <w:r>
              <w:t xml:space="preserve"> </w:t>
            </w:r>
            <w:r w:rsidRPr="0041137B">
              <w:t>CORP-CORPUS e ASL identificati dai</w:t>
            </w:r>
            <w:r>
              <w:t xml:space="preserve"> </w:t>
            </w:r>
            <w:r w:rsidRPr="0041137B">
              <w:t>referenti della ROC</w:t>
            </w:r>
          </w:p>
        </w:tc>
      </w:tr>
      <w:tr w:rsidR="0051528C" w:rsidRPr="00FB30D2" w:rsidTr="00E477C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51528C">
            <w:pPr>
              <w:pBdr>
                <w:top w:val="nil"/>
                <w:left w:val="nil"/>
                <w:bottom w:val="nil"/>
                <w:right w:val="nil"/>
                <w:between w:val="nil"/>
              </w:pBdr>
            </w:pPr>
            <w:r>
              <w:t>Note Epidemiologiche</w:t>
            </w:r>
          </w:p>
        </w:tc>
        <w:tc>
          <w:tcPr>
            <w:tcW w:w="6083"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444526">
            <w:pPr>
              <w:pBdr>
                <w:top w:val="nil"/>
                <w:left w:val="nil"/>
                <w:bottom w:val="nil"/>
                <w:right w:val="nil"/>
                <w:between w:val="nil"/>
              </w:pBdr>
            </w:pPr>
            <w:r w:rsidRPr="0041137B">
              <w:t xml:space="preserve">M. Fusco: </w:t>
            </w:r>
            <w:r w:rsidR="00E477CC">
              <w:t>ASL NA 3 SUD, Membro Direttivo AIRTUM</w:t>
            </w:r>
          </w:p>
        </w:tc>
      </w:tr>
      <w:tr w:rsidR="0051528C" w:rsidRPr="00FB30D2" w:rsidTr="00E477C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51528C">
            <w:pPr>
              <w:pBdr>
                <w:top w:val="nil"/>
                <w:left w:val="nil"/>
                <w:bottom w:val="nil"/>
                <w:right w:val="nil"/>
                <w:between w:val="nil"/>
              </w:pBdr>
            </w:pPr>
            <w:r w:rsidRPr="0041137B">
              <w:t>Associazioni pazienti</w:t>
            </w:r>
          </w:p>
        </w:tc>
        <w:tc>
          <w:tcPr>
            <w:tcW w:w="6083"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444526">
            <w:pPr>
              <w:pBdr>
                <w:top w:val="nil"/>
                <w:left w:val="nil"/>
                <w:bottom w:val="nil"/>
                <w:right w:val="nil"/>
                <w:between w:val="nil"/>
              </w:pBdr>
            </w:pPr>
            <w:r w:rsidRPr="0041137B">
              <w:t>FAVO</w:t>
            </w:r>
          </w:p>
        </w:tc>
      </w:tr>
      <w:tr w:rsidR="0051528C" w:rsidRPr="00FB30D2" w:rsidTr="00E477C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51528C">
            <w:pPr>
              <w:pBdr>
                <w:top w:val="nil"/>
                <w:left w:val="nil"/>
                <w:bottom w:val="nil"/>
                <w:right w:val="nil"/>
                <w:between w:val="nil"/>
              </w:pBdr>
              <w:spacing w:before="1"/>
            </w:pPr>
            <w:r w:rsidRPr="0041137B">
              <w:t>Società Scientifiche</w:t>
            </w:r>
          </w:p>
        </w:tc>
        <w:tc>
          <w:tcPr>
            <w:tcW w:w="6083" w:type="dxa"/>
            <w:tcBorders>
              <w:top w:val="single" w:sz="4" w:space="0" w:color="000000"/>
              <w:left w:val="single" w:sz="4" w:space="0" w:color="000000"/>
              <w:bottom w:val="single" w:sz="4" w:space="0" w:color="000000"/>
              <w:right w:val="single" w:sz="4" w:space="0" w:color="000000"/>
            </w:tcBorders>
            <w:shd w:val="clear" w:color="auto" w:fill="auto"/>
          </w:tcPr>
          <w:p w:rsidR="0051528C" w:rsidRPr="0041137B" w:rsidRDefault="0051528C" w:rsidP="00444526">
            <w:pPr>
              <w:pBdr>
                <w:top w:val="nil"/>
                <w:left w:val="nil"/>
                <w:bottom w:val="nil"/>
                <w:right w:val="nil"/>
                <w:between w:val="nil"/>
              </w:pBdr>
            </w:pPr>
            <w:r w:rsidRPr="0041137B">
              <w:t>Rappresentanze regionali AIOM (R.Bianco), CIPOMO (C. Savastano), SIMG (G.Piccinocchi)</w:t>
            </w:r>
          </w:p>
        </w:tc>
      </w:tr>
      <w:tr w:rsidR="00225A7B" w:rsidRPr="00FB30D2" w:rsidTr="00E477C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225A7B" w:rsidRPr="0041137B" w:rsidRDefault="00225A7B" w:rsidP="0051528C">
            <w:pPr>
              <w:pBdr>
                <w:top w:val="nil"/>
                <w:left w:val="nil"/>
                <w:bottom w:val="nil"/>
                <w:right w:val="nil"/>
                <w:between w:val="nil"/>
              </w:pBdr>
              <w:spacing w:before="1"/>
            </w:pPr>
            <w:r>
              <w:t>Farmacisti revisori</w:t>
            </w:r>
          </w:p>
        </w:tc>
        <w:tc>
          <w:tcPr>
            <w:tcW w:w="6083" w:type="dxa"/>
            <w:tcBorders>
              <w:top w:val="single" w:sz="4" w:space="0" w:color="000000"/>
              <w:left w:val="single" w:sz="4" w:space="0" w:color="000000"/>
              <w:bottom w:val="single" w:sz="4" w:space="0" w:color="000000"/>
              <w:right w:val="single" w:sz="4" w:space="0" w:color="000000"/>
            </w:tcBorders>
            <w:shd w:val="clear" w:color="auto" w:fill="auto"/>
          </w:tcPr>
          <w:p w:rsidR="00225A7B" w:rsidRPr="0041137B" w:rsidRDefault="00225A7B" w:rsidP="00444526">
            <w:pPr>
              <w:pBdr>
                <w:top w:val="nil"/>
                <w:left w:val="nil"/>
                <w:bottom w:val="nil"/>
                <w:right w:val="nil"/>
                <w:between w:val="nil"/>
              </w:pBdr>
            </w:pPr>
            <w:r>
              <w:rPr>
                <w:rFonts w:cs="Times New Roman"/>
              </w:rPr>
              <w:t>Ersilia Lupoli, Teresa Marzano, A.O.</w:t>
            </w:r>
            <w:r w:rsidR="00BB5ED4">
              <w:rPr>
                <w:rFonts w:cs="Times New Roman"/>
              </w:rPr>
              <w:t>R.N.</w:t>
            </w:r>
            <w:bookmarkStart w:id="2" w:name="_GoBack"/>
            <w:bookmarkEnd w:id="2"/>
            <w:r>
              <w:rPr>
                <w:rFonts w:cs="Times New Roman"/>
              </w:rPr>
              <w:t xml:space="preserve"> S. Anna S. Sebastiano</w:t>
            </w:r>
          </w:p>
        </w:tc>
      </w:tr>
    </w:tbl>
    <w:p w:rsidR="00E91614" w:rsidRPr="00FB30D2" w:rsidRDefault="00E91614" w:rsidP="00FB30D2">
      <w:pPr>
        <w:spacing w:line="360" w:lineRule="auto"/>
        <w:jc w:val="both"/>
        <w:rPr>
          <w:rFonts w:cs="Times New Roman"/>
          <w:color w:val="auto"/>
        </w:rPr>
      </w:pPr>
    </w:p>
    <w:p w:rsidR="0051528C" w:rsidRDefault="0051528C" w:rsidP="00FB30D2">
      <w:pPr>
        <w:suppressAutoHyphens/>
        <w:spacing w:after="200" w:line="360" w:lineRule="auto"/>
        <w:jc w:val="both"/>
        <w:textAlignment w:val="baseline"/>
        <w:rPr>
          <w:rFonts w:eastAsia="Calibri" w:cs="Times New Roman"/>
          <w:b/>
          <w:color w:val="auto"/>
          <w:lang w:eastAsia="en-US"/>
        </w:rPr>
      </w:pPr>
    </w:p>
    <w:p w:rsidR="0051528C" w:rsidRDefault="0051528C" w:rsidP="00FB30D2">
      <w:pPr>
        <w:suppressAutoHyphens/>
        <w:spacing w:after="200" w:line="360" w:lineRule="auto"/>
        <w:jc w:val="both"/>
        <w:textAlignment w:val="baseline"/>
        <w:rPr>
          <w:rFonts w:eastAsia="Calibri" w:cs="Times New Roman"/>
          <w:b/>
          <w:color w:val="auto"/>
          <w:lang w:eastAsia="en-US"/>
        </w:rPr>
      </w:pPr>
    </w:p>
    <w:p w:rsidR="00E477CC" w:rsidRDefault="00E477CC" w:rsidP="00FB30D2">
      <w:pPr>
        <w:suppressAutoHyphens/>
        <w:spacing w:after="200" w:line="360" w:lineRule="auto"/>
        <w:jc w:val="both"/>
        <w:textAlignment w:val="baseline"/>
        <w:rPr>
          <w:rFonts w:eastAsia="Calibri" w:cs="Times New Roman"/>
          <w:b/>
          <w:color w:val="auto"/>
          <w:lang w:eastAsia="en-US"/>
        </w:rPr>
      </w:pPr>
    </w:p>
    <w:p w:rsidR="0051528C" w:rsidRDefault="0051528C" w:rsidP="00FB30D2">
      <w:pPr>
        <w:suppressAutoHyphens/>
        <w:spacing w:after="200" w:line="360" w:lineRule="auto"/>
        <w:jc w:val="both"/>
        <w:textAlignment w:val="baseline"/>
        <w:rPr>
          <w:rFonts w:eastAsia="Calibri" w:cs="Times New Roman"/>
          <w:b/>
          <w:color w:val="auto"/>
          <w:lang w:eastAsia="en-US"/>
        </w:rPr>
      </w:pPr>
    </w:p>
    <w:p w:rsidR="001F2F65" w:rsidRPr="00FB30D2" w:rsidRDefault="00ED7B5A" w:rsidP="00FB30D2">
      <w:pPr>
        <w:suppressAutoHyphens/>
        <w:spacing w:after="200" w:line="360" w:lineRule="auto"/>
        <w:jc w:val="both"/>
        <w:textAlignment w:val="baseline"/>
        <w:rPr>
          <w:rFonts w:eastAsia="Calibri" w:cs="Times New Roman"/>
          <w:b/>
          <w:color w:val="auto"/>
          <w:lang w:eastAsia="en-US"/>
        </w:rPr>
      </w:pPr>
      <w:r w:rsidRPr="00FB30D2">
        <w:rPr>
          <w:rFonts w:eastAsia="Calibri" w:cs="Times New Roman"/>
          <w:b/>
          <w:color w:val="auto"/>
          <w:lang w:eastAsia="en-US"/>
        </w:rPr>
        <w:t>Percorsi suggeriti dalle Associazioni Pazienti aderenti a FAVO Campania da sviluppare nella ROC prima della prossima revisione annuale del PDTA</w:t>
      </w:r>
    </w:p>
    <w:p w:rsidR="00A009FF" w:rsidRPr="00FB30D2" w:rsidRDefault="00A009FF" w:rsidP="00FB30D2">
      <w:pPr>
        <w:tabs>
          <w:tab w:val="left" w:pos="771"/>
        </w:tabs>
        <w:spacing w:line="360" w:lineRule="auto"/>
        <w:jc w:val="both"/>
        <w:rPr>
          <w:rFonts w:eastAsia="Times New Roman" w:cs="Times New Roman"/>
          <w:color w:val="000000" w:themeColor="text1"/>
        </w:rPr>
      </w:pPr>
    </w:p>
    <w:tbl>
      <w:tblPr>
        <w:tblW w:w="9783" w:type="dxa"/>
        <w:tblInd w:w="-5" w:type="dxa"/>
        <w:tblCellMar>
          <w:left w:w="10" w:type="dxa"/>
          <w:right w:w="10" w:type="dxa"/>
        </w:tblCellMar>
        <w:tblLook w:val="0000" w:firstRow="0" w:lastRow="0" w:firstColumn="0" w:lastColumn="0" w:noHBand="0" w:noVBand="0"/>
      </w:tblPr>
      <w:tblGrid>
        <w:gridCol w:w="1701"/>
        <w:gridCol w:w="8082"/>
      </w:tblGrid>
      <w:tr w:rsidR="00A009FF" w:rsidRPr="00FB30D2" w:rsidTr="00181F38">
        <w:trPr>
          <w:trHeight w:val="56"/>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9FF" w:rsidRPr="00FB30D2" w:rsidRDefault="00A009FF" w:rsidP="00FB30D2">
            <w:pPr>
              <w:spacing w:after="160" w:line="360" w:lineRule="auto"/>
              <w:jc w:val="both"/>
              <w:rPr>
                <w:rFonts w:cs="Times New Roman"/>
                <w:b/>
                <w:bCs/>
                <w:color w:val="000000" w:themeColor="text1"/>
              </w:rPr>
            </w:pPr>
            <w:r w:rsidRPr="00FB30D2">
              <w:rPr>
                <w:rFonts w:cs="Times New Roman"/>
                <w:b/>
                <w:bCs/>
                <w:color w:val="000000" w:themeColor="text1"/>
              </w:rPr>
              <w:t>PDTA Colon</w:t>
            </w:r>
          </w:p>
        </w:tc>
        <w:tc>
          <w:tcPr>
            <w:tcW w:w="80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44526" w:rsidRPr="00096045" w:rsidRDefault="00444526" w:rsidP="00444526">
            <w:pPr>
              <w:pStyle w:val="Paragrafoelenco"/>
              <w:numPr>
                <w:ilvl w:val="0"/>
                <w:numId w:val="14"/>
              </w:numPr>
              <w:pBdr>
                <w:top w:val="nil"/>
                <w:left w:val="nil"/>
                <w:bottom w:val="nil"/>
                <w:right w:val="nil"/>
                <w:between w:val="nil"/>
              </w:pBdr>
              <w:spacing w:line="360" w:lineRule="auto"/>
              <w:contextualSpacing/>
              <w:jc w:val="both"/>
              <w:rPr>
                <w:sz w:val="24"/>
                <w:szCs w:val="24"/>
              </w:rPr>
            </w:pPr>
            <w:r w:rsidRPr="00096045">
              <w:rPr>
                <w:rFonts w:ascii="Times New Roman" w:hAnsi="Times New Roman"/>
                <w:sz w:val="24"/>
                <w:szCs w:val="24"/>
              </w:rPr>
              <w:t xml:space="preserve">Si auspica la piena l’attuazione del percorso della R.O.C. con la costituzione della commissione del “Molecular Tumor Board” regionale, con ampia rappresentanza dei diversi stakeholders, al fine di regolamentare l’impiego dei test genomici per la medicina di precisione. </w:t>
            </w:r>
          </w:p>
          <w:p w:rsidR="00444526" w:rsidRPr="00096045" w:rsidRDefault="00444526" w:rsidP="00444526">
            <w:pPr>
              <w:pStyle w:val="Paragrafoelenco"/>
              <w:numPr>
                <w:ilvl w:val="0"/>
                <w:numId w:val="14"/>
              </w:numPr>
              <w:pBdr>
                <w:top w:val="nil"/>
                <w:left w:val="nil"/>
                <w:bottom w:val="nil"/>
                <w:right w:val="nil"/>
                <w:between w:val="nil"/>
              </w:pBdr>
              <w:spacing w:line="360" w:lineRule="auto"/>
              <w:contextualSpacing/>
              <w:jc w:val="both"/>
              <w:rPr>
                <w:sz w:val="24"/>
                <w:szCs w:val="24"/>
              </w:rPr>
            </w:pPr>
            <w:r w:rsidRPr="00096045">
              <w:rPr>
                <w:rFonts w:ascii="Times New Roman" w:hAnsi="Times New Roman"/>
                <w:sz w:val="24"/>
                <w:szCs w:val="24"/>
                <w:highlight w:val="white"/>
              </w:rPr>
              <w:t>Si auspica il pieno coinvolgimento del MMG nelle attività del GOM</w:t>
            </w:r>
          </w:p>
          <w:p w:rsidR="00444526" w:rsidRPr="00096045" w:rsidRDefault="00444526" w:rsidP="00444526">
            <w:pPr>
              <w:pStyle w:val="Paragrafoelenco"/>
              <w:numPr>
                <w:ilvl w:val="0"/>
                <w:numId w:val="14"/>
              </w:numPr>
              <w:pBdr>
                <w:top w:val="nil"/>
                <w:left w:val="nil"/>
                <w:bottom w:val="nil"/>
                <w:right w:val="nil"/>
                <w:between w:val="nil"/>
              </w:pBdr>
              <w:spacing w:line="360" w:lineRule="auto"/>
              <w:contextualSpacing/>
              <w:jc w:val="both"/>
              <w:rPr>
                <w:sz w:val="24"/>
                <w:szCs w:val="24"/>
              </w:rPr>
            </w:pPr>
            <w:r w:rsidRPr="00096045">
              <w:rPr>
                <w:rFonts w:ascii="Times New Roman" w:hAnsi="Times New Roman"/>
                <w:sz w:val="24"/>
                <w:szCs w:val="24"/>
              </w:rPr>
              <w:t>Si auspica che tutti i GOM (provvedano in tempi brevi e standardizzati a garantire ai pazienti in carico, tutte le prestazioni diagn</w:t>
            </w:r>
            <w:r>
              <w:rPr>
                <w:rFonts w:ascii="Times New Roman" w:hAnsi="Times New Roman"/>
                <w:sz w:val="24"/>
                <w:szCs w:val="24"/>
              </w:rPr>
              <w:t>ostiche ambulatoriali (con impe</w:t>
            </w:r>
            <w:r w:rsidRPr="00096045">
              <w:rPr>
                <w:rFonts w:ascii="Times New Roman" w:hAnsi="Times New Roman"/>
                <w:sz w:val="24"/>
                <w:szCs w:val="24"/>
              </w:rPr>
              <w:t>gnativa)) e realizzino dei percorsi dedicati per i pazienti in valutazione GOM. Questo risolverebbe in gran parte i disagi creati dal Decreto 599 del 28/12/2021, con la definizione dei tetti di spesa</w:t>
            </w:r>
            <w:r>
              <w:rPr>
                <w:rFonts w:ascii="Times New Roman" w:hAnsi="Times New Roman"/>
                <w:sz w:val="24"/>
                <w:szCs w:val="24"/>
              </w:rPr>
              <w:t xml:space="preserve"> per i centri diagnostici accre</w:t>
            </w:r>
            <w:r w:rsidRPr="00096045">
              <w:rPr>
                <w:rFonts w:ascii="Times New Roman" w:hAnsi="Times New Roman"/>
                <w:sz w:val="24"/>
                <w:szCs w:val="24"/>
              </w:rPr>
              <w:t>ditati.</w:t>
            </w:r>
          </w:p>
          <w:p w:rsidR="00444526" w:rsidRPr="00096045" w:rsidRDefault="00444526" w:rsidP="00444526">
            <w:pPr>
              <w:pStyle w:val="Paragrafoelenco"/>
              <w:numPr>
                <w:ilvl w:val="0"/>
                <w:numId w:val="14"/>
              </w:numPr>
              <w:pBdr>
                <w:top w:val="nil"/>
                <w:left w:val="nil"/>
                <w:bottom w:val="nil"/>
                <w:right w:val="nil"/>
                <w:between w:val="nil"/>
              </w:pBdr>
              <w:spacing w:line="360" w:lineRule="auto"/>
              <w:contextualSpacing/>
              <w:jc w:val="both"/>
              <w:rPr>
                <w:sz w:val="24"/>
                <w:szCs w:val="24"/>
              </w:rPr>
            </w:pPr>
            <w:r w:rsidRPr="00096045">
              <w:rPr>
                <w:rFonts w:ascii="Times New Roman" w:hAnsi="Times New Roman"/>
                <w:sz w:val="24"/>
                <w:szCs w:val="24"/>
              </w:rPr>
              <w:t>Si auspica che tutti i Corp, Corpus e GOM della R.O.C, rendano pubblici i dati di performance sulla tempistica di erogazione dei servizi diagnostico-terapeutici-as</w:t>
            </w:r>
            <w:r>
              <w:rPr>
                <w:rFonts w:ascii="Times New Roman" w:hAnsi="Times New Roman"/>
                <w:sz w:val="24"/>
                <w:szCs w:val="24"/>
              </w:rPr>
              <w:t>sistenziali, previsti nei PDTA.</w:t>
            </w:r>
          </w:p>
          <w:p w:rsidR="00444526" w:rsidRPr="00096045" w:rsidRDefault="00444526" w:rsidP="00444526">
            <w:pPr>
              <w:pStyle w:val="Paragrafoelenco"/>
              <w:numPr>
                <w:ilvl w:val="0"/>
                <w:numId w:val="14"/>
              </w:numPr>
              <w:pBdr>
                <w:top w:val="nil"/>
                <w:left w:val="nil"/>
                <w:bottom w:val="nil"/>
                <w:right w:val="nil"/>
                <w:between w:val="nil"/>
              </w:pBdr>
              <w:spacing w:line="360" w:lineRule="auto"/>
              <w:contextualSpacing/>
              <w:jc w:val="both"/>
              <w:rPr>
                <w:sz w:val="24"/>
                <w:szCs w:val="24"/>
              </w:rPr>
            </w:pPr>
            <w:r w:rsidRPr="00096045">
              <w:rPr>
                <w:rFonts w:ascii="Times New Roman" w:hAnsi="Times New Roman"/>
                <w:sz w:val="24"/>
                <w:szCs w:val="24"/>
              </w:rPr>
              <w:t>Si auspica una sensibile accelerazione dei setting di formazione sul corretto uso della piattaforma ROC a favore dei MMG</w:t>
            </w:r>
          </w:p>
          <w:p w:rsidR="00A009FF" w:rsidRPr="00AA2091" w:rsidRDefault="00444526" w:rsidP="00444526">
            <w:pPr>
              <w:pStyle w:val="Paragrafoelenco"/>
              <w:numPr>
                <w:ilvl w:val="0"/>
                <w:numId w:val="14"/>
              </w:numPr>
              <w:pBdr>
                <w:top w:val="nil"/>
                <w:left w:val="nil"/>
                <w:bottom w:val="nil"/>
                <w:right w:val="nil"/>
                <w:between w:val="nil"/>
              </w:pBdr>
              <w:spacing w:line="360" w:lineRule="auto"/>
              <w:contextualSpacing/>
              <w:jc w:val="both"/>
              <w:rPr>
                <w:sz w:val="24"/>
                <w:szCs w:val="24"/>
              </w:rPr>
            </w:pPr>
            <w:r w:rsidRPr="00096045">
              <w:rPr>
                <w:rFonts w:ascii="Times New Roman" w:hAnsi="Times New Roman"/>
                <w:sz w:val="24"/>
                <w:szCs w:val="24"/>
              </w:rPr>
              <w:t>Si auspice di Ridurre e Definire in maniera precisa le tempistiche per la diagnostica</w:t>
            </w:r>
          </w:p>
        </w:tc>
      </w:tr>
    </w:tbl>
    <w:p w:rsidR="001F2F65" w:rsidRDefault="001F2F65" w:rsidP="00FB30D2">
      <w:pPr>
        <w:tabs>
          <w:tab w:val="left" w:pos="1394"/>
        </w:tabs>
        <w:spacing w:line="360" w:lineRule="auto"/>
        <w:jc w:val="both"/>
        <w:rPr>
          <w:rFonts w:cs="Times New Roman"/>
        </w:rPr>
      </w:pPr>
    </w:p>
    <w:p w:rsidR="0051528C" w:rsidRDefault="0051528C" w:rsidP="00FB30D2">
      <w:pPr>
        <w:tabs>
          <w:tab w:val="left" w:pos="1394"/>
        </w:tabs>
        <w:spacing w:line="360" w:lineRule="auto"/>
        <w:jc w:val="both"/>
        <w:rPr>
          <w:rFonts w:cs="Times New Roman"/>
        </w:rPr>
      </w:pPr>
    </w:p>
    <w:p w:rsidR="0051528C" w:rsidRDefault="0051528C" w:rsidP="00FB30D2">
      <w:pPr>
        <w:tabs>
          <w:tab w:val="left" w:pos="1394"/>
        </w:tabs>
        <w:spacing w:line="360" w:lineRule="auto"/>
        <w:jc w:val="both"/>
        <w:rPr>
          <w:rFonts w:cs="Times New Roman"/>
        </w:rPr>
      </w:pPr>
    </w:p>
    <w:p w:rsidR="0051528C" w:rsidRDefault="0051528C" w:rsidP="00FB30D2">
      <w:pPr>
        <w:tabs>
          <w:tab w:val="left" w:pos="1394"/>
        </w:tabs>
        <w:spacing w:line="360" w:lineRule="auto"/>
        <w:jc w:val="both"/>
        <w:rPr>
          <w:rFonts w:cs="Times New Roman"/>
        </w:rPr>
      </w:pPr>
    </w:p>
    <w:p w:rsidR="0051528C" w:rsidRDefault="0051528C" w:rsidP="00FB30D2">
      <w:pPr>
        <w:tabs>
          <w:tab w:val="left" w:pos="1394"/>
        </w:tabs>
        <w:spacing w:line="360" w:lineRule="auto"/>
        <w:jc w:val="both"/>
        <w:rPr>
          <w:rFonts w:cs="Times New Roman"/>
        </w:rPr>
      </w:pPr>
    </w:p>
    <w:p w:rsidR="0051528C" w:rsidRDefault="0051528C" w:rsidP="00FB30D2">
      <w:pPr>
        <w:tabs>
          <w:tab w:val="left" w:pos="1394"/>
        </w:tabs>
        <w:spacing w:line="360" w:lineRule="auto"/>
        <w:jc w:val="both"/>
        <w:rPr>
          <w:rFonts w:cs="Times New Roman"/>
        </w:rPr>
      </w:pPr>
    </w:p>
    <w:p w:rsidR="0051528C" w:rsidRDefault="0051528C" w:rsidP="00FB30D2">
      <w:pPr>
        <w:tabs>
          <w:tab w:val="left" w:pos="1394"/>
        </w:tabs>
        <w:spacing w:line="360" w:lineRule="auto"/>
        <w:jc w:val="both"/>
        <w:rPr>
          <w:rFonts w:cs="Times New Roman"/>
        </w:rPr>
      </w:pPr>
    </w:p>
    <w:p w:rsidR="00AA2091" w:rsidRDefault="00AA2091" w:rsidP="00FB30D2">
      <w:pPr>
        <w:tabs>
          <w:tab w:val="left" w:pos="1394"/>
        </w:tabs>
        <w:spacing w:line="360" w:lineRule="auto"/>
        <w:jc w:val="both"/>
        <w:rPr>
          <w:rFonts w:cs="Times New Roman"/>
        </w:rPr>
      </w:pPr>
    </w:p>
    <w:p w:rsidR="00AA2091" w:rsidRDefault="00AA2091" w:rsidP="00FB30D2">
      <w:pPr>
        <w:tabs>
          <w:tab w:val="left" w:pos="1394"/>
        </w:tabs>
        <w:spacing w:line="360" w:lineRule="auto"/>
        <w:jc w:val="both"/>
        <w:rPr>
          <w:rFonts w:cs="Times New Roman"/>
        </w:rPr>
      </w:pPr>
    </w:p>
    <w:p w:rsidR="0051528C" w:rsidRDefault="0051528C" w:rsidP="00FB30D2">
      <w:pPr>
        <w:tabs>
          <w:tab w:val="left" w:pos="1394"/>
        </w:tabs>
        <w:spacing w:line="360" w:lineRule="auto"/>
        <w:jc w:val="both"/>
        <w:rPr>
          <w:rFonts w:cs="Times New Roman"/>
        </w:rPr>
      </w:pPr>
    </w:p>
    <w:p w:rsidR="0051528C" w:rsidRPr="0041137B" w:rsidRDefault="0051528C" w:rsidP="0051528C">
      <w:pPr>
        <w:spacing w:before="84" w:line="360" w:lineRule="auto"/>
        <w:ind w:left="302"/>
        <w:rPr>
          <w:b/>
        </w:rPr>
      </w:pPr>
      <w:r>
        <w:rPr>
          <w:b/>
        </w:rPr>
        <w:t>Il decreto n.477 del 04/11/2021 attuato con Delibera n.272 del 07/06/2022 ha definito i “Target di intervento” per patologia</w:t>
      </w: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jc w:val="center"/>
        <w:rPr>
          <w:sz w:val="28"/>
        </w:rPr>
      </w:pPr>
      <w:r>
        <w:rPr>
          <w:noProof/>
        </w:rPr>
        <w:drawing>
          <wp:inline distT="0" distB="0" distL="0" distR="0" wp14:anchorId="3D59BE00" wp14:editId="36DADEDE">
            <wp:extent cx="5553718" cy="6258884"/>
            <wp:effectExtent l="0" t="0" r="889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6987" cy="6262568"/>
                    </a:xfrm>
                    <a:prstGeom prst="rect">
                      <a:avLst/>
                    </a:prstGeom>
                    <a:noFill/>
                  </pic:spPr>
                </pic:pic>
              </a:graphicData>
            </a:graphic>
          </wp:inline>
        </w:drawing>
      </w: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rPr>
          <w:sz w:val="28"/>
        </w:rPr>
      </w:pPr>
    </w:p>
    <w:p w:rsidR="0051528C" w:rsidRPr="00533173" w:rsidRDefault="0051528C" w:rsidP="0051528C">
      <w:pPr>
        <w:pBdr>
          <w:top w:val="nil"/>
          <w:left w:val="nil"/>
          <w:bottom w:val="nil"/>
          <w:right w:val="nil"/>
          <w:between w:val="nil"/>
        </w:pBdr>
        <w:spacing w:line="20" w:lineRule="auto"/>
        <w:rPr>
          <w:sz w:val="28"/>
        </w:rPr>
      </w:pPr>
    </w:p>
    <w:p w:rsidR="0051528C" w:rsidRPr="00533173" w:rsidRDefault="0051528C" w:rsidP="0051528C">
      <w:pPr>
        <w:pBdr>
          <w:top w:val="nil"/>
          <w:left w:val="nil"/>
          <w:bottom w:val="nil"/>
          <w:right w:val="nil"/>
          <w:between w:val="nil"/>
        </w:pBdr>
        <w:spacing w:line="20" w:lineRule="auto"/>
        <w:rPr>
          <w:sz w:val="28"/>
        </w:rPr>
      </w:pPr>
    </w:p>
    <w:p w:rsidR="0051528C" w:rsidRPr="00533173" w:rsidRDefault="0051528C" w:rsidP="0051528C">
      <w:pPr>
        <w:pBdr>
          <w:top w:val="nil"/>
          <w:left w:val="nil"/>
          <w:bottom w:val="nil"/>
          <w:right w:val="nil"/>
          <w:between w:val="nil"/>
        </w:pBdr>
        <w:spacing w:line="20" w:lineRule="auto"/>
        <w:rPr>
          <w:sz w:val="28"/>
        </w:rPr>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Default="0051528C" w:rsidP="0051528C">
      <w:pPr>
        <w:pBdr>
          <w:top w:val="nil"/>
          <w:left w:val="nil"/>
          <w:bottom w:val="nil"/>
          <w:right w:val="nil"/>
          <w:between w:val="nil"/>
        </w:pBdr>
        <w:spacing w:line="20" w:lineRule="auto"/>
      </w:pPr>
    </w:p>
    <w:p w:rsidR="0051528C" w:rsidRPr="0041137B" w:rsidRDefault="0051528C" w:rsidP="0051528C">
      <w:pPr>
        <w:pBdr>
          <w:top w:val="nil"/>
          <w:left w:val="nil"/>
          <w:bottom w:val="nil"/>
          <w:right w:val="nil"/>
          <w:between w:val="nil"/>
        </w:pBdr>
        <w:spacing w:line="20" w:lineRule="auto"/>
        <w:ind w:left="302"/>
      </w:pPr>
    </w:p>
    <w:p w:rsidR="0051528C" w:rsidRPr="00FB30D2" w:rsidRDefault="0051528C" w:rsidP="00FB30D2">
      <w:pPr>
        <w:tabs>
          <w:tab w:val="left" w:pos="1394"/>
        </w:tabs>
        <w:spacing w:line="360" w:lineRule="auto"/>
        <w:jc w:val="both"/>
        <w:rPr>
          <w:rFonts w:cs="Times New Roman"/>
        </w:rPr>
      </w:pPr>
    </w:p>
    <w:sectPr w:rsidR="0051528C" w:rsidRPr="00FB30D2" w:rsidSect="00E91614">
      <w:headerReference w:type="default" r:id="rId33"/>
      <w:footerReference w:type="default" r:id="rId34"/>
      <w:type w:val="continuous"/>
      <w:pgSz w:w="11906" w:h="16838"/>
      <w:pgMar w:top="1417" w:right="1134" w:bottom="1134" w:left="1134" w:header="708" w:footer="708"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0D2" w:rsidRDefault="00FB30D2">
      <w:r>
        <w:separator/>
      </w:r>
    </w:p>
  </w:endnote>
  <w:endnote w:type="continuationSeparator" w:id="0">
    <w:p w:rsidR="00FB30D2" w:rsidRDefault="00FB3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1"/>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079814"/>
      <w:docPartObj>
        <w:docPartGallery w:val="Page Numbers (Bottom of Page)"/>
        <w:docPartUnique/>
      </w:docPartObj>
    </w:sdtPr>
    <w:sdtEndPr/>
    <w:sdtContent>
      <w:p w:rsidR="00FB30D2" w:rsidRDefault="00FB30D2">
        <w:pPr>
          <w:pStyle w:val="Pidipagina"/>
          <w:jc w:val="right"/>
        </w:pPr>
        <w:r>
          <w:fldChar w:fldCharType="begin"/>
        </w:r>
        <w:r>
          <w:instrText>PAGE   \* MERGEFORMAT</w:instrText>
        </w:r>
        <w:r>
          <w:fldChar w:fldCharType="separate"/>
        </w:r>
        <w:r w:rsidR="00BB5ED4">
          <w:rPr>
            <w:noProof/>
          </w:rPr>
          <w:t>33</w:t>
        </w:r>
        <w:r>
          <w:fldChar w:fldCharType="end"/>
        </w:r>
      </w:p>
    </w:sdtContent>
  </w:sdt>
  <w:p w:rsidR="00FB30D2" w:rsidRDefault="00FB30D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812247"/>
      <w:docPartObj>
        <w:docPartGallery w:val="Page Numbers (Bottom of Page)"/>
        <w:docPartUnique/>
      </w:docPartObj>
    </w:sdtPr>
    <w:sdtEndPr/>
    <w:sdtContent>
      <w:p w:rsidR="00FB30D2" w:rsidRDefault="00FB30D2">
        <w:pPr>
          <w:pStyle w:val="Pidipagina"/>
          <w:jc w:val="right"/>
        </w:pPr>
        <w:r>
          <w:fldChar w:fldCharType="begin"/>
        </w:r>
        <w:r>
          <w:instrText>PAGE</w:instrText>
        </w:r>
        <w:r>
          <w:fldChar w:fldCharType="separate"/>
        </w:r>
        <w:r w:rsidR="00BB5ED4">
          <w:rPr>
            <w:noProof/>
          </w:rPr>
          <w:t>41</w:t>
        </w:r>
        <w:r>
          <w:fldChar w:fldCharType="end"/>
        </w:r>
      </w:p>
    </w:sdtContent>
  </w:sdt>
  <w:p w:rsidR="00FB30D2" w:rsidRDefault="00FB30D2">
    <w:pPr>
      <w:pStyle w:val="Pidipagina"/>
    </w:pPr>
  </w:p>
  <w:p w:rsidR="00FB30D2" w:rsidRDefault="00FB30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0D2" w:rsidRDefault="00FB30D2">
      <w:r>
        <w:separator/>
      </w:r>
    </w:p>
  </w:footnote>
  <w:footnote w:type="continuationSeparator" w:id="0">
    <w:p w:rsidR="00FB30D2" w:rsidRDefault="00FB30D2">
      <w:r>
        <w:continuationSeparator/>
      </w:r>
    </w:p>
  </w:footnote>
  <w:footnote w:id="1">
    <w:p w:rsidR="00FB30D2" w:rsidRDefault="00FB30D2" w:rsidP="00FB30D2">
      <w:pPr>
        <w:pStyle w:val="Testonotaapidipagina"/>
        <w:rPr>
          <w:rFonts w:ascii="Times New Roman" w:hAnsi="Times New Roman" w:cs="Times New Roman"/>
        </w:rPr>
      </w:pPr>
      <w:r w:rsidRPr="00CD493C">
        <w:rPr>
          <w:rStyle w:val="Caratterinotaapidipagina"/>
          <w:vertAlign w:val="superscript"/>
        </w:rPr>
        <w:footnoteRef/>
      </w:r>
      <w:r w:rsidRPr="00CD493C">
        <w:rPr>
          <w:rFonts w:ascii="Times New Roman" w:hAnsi="Times New Roman" w:cs="Times New Roman"/>
          <w:vertAlign w:val="superscript"/>
        </w:rPr>
        <w:t xml:space="preserve"> </w:t>
      </w:r>
      <w:r>
        <w:rPr>
          <w:rFonts w:ascii="Times New Roman" w:hAnsi="Times New Roman" w:cs="Times New Roman"/>
        </w:rPr>
        <w:t xml:space="preserve">JRC-ENCR: ECIS - European Cancer Information System (tassi standardizzati su popolazione europea 2013). </w:t>
      </w:r>
    </w:p>
    <w:p w:rsidR="00FB30D2" w:rsidRDefault="00FB30D2" w:rsidP="00FB30D2">
      <w:pPr>
        <w:pStyle w:val="Testonotaapidipagina"/>
      </w:pPr>
      <w:r>
        <w:rPr>
          <w:rFonts w:ascii="Times New Roman" w:hAnsi="Times New Roman" w:cs="Times New Roman"/>
        </w:rPr>
        <w:t xml:space="preserve">   https://ecis.jrc.ec.europa.eu/</w:t>
      </w:r>
    </w:p>
  </w:footnote>
  <w:footnote w:id="2">
    <w:p w:rsidR="00FB30D2" w:rsidRDefault="00FB30D2" w:rsidP="00FB30D2">
      <w:pPr>
        <w:pStyle w:val="Testonotaapidipagina"/>
      </w:pPr>
      <w:r w:rsidRPr="00CD493C">
        <w:rPr>
          <w:rStyle w:val="Caratterinotaapidipagina"/>
          <w:vertAlign w:val="superscript"/>
        </w:rPr>
        <w:footnoteRef/>
      </w:r>
      <w:r>
        <w:rPr>
          <w:rFonts w:ascii="Times New Roman" w:hAnsi="Times New Roman" w:cs="Times New Roman"/>
        </w:rPr>
        <w:t xml:space="preserve"> </w:t>
      </w:r>
      <w:bookmarkStart w:id="0" w:name="_Hlk61851247"/>
      <w:r>
        <w:rPr>
          <w:rFonts w:ascii="Times New Roman" w:hAnsi="Times New Roman" w:cs="Times New Roman"/>
        </w:rPr>
        <w:t>Dati Registro Tumori Regione Campania (tassi standardizzati su popolazione europea 2013).</w:t>
      </w:r>
      <w:bookmarkEnd w:id="0"/>
    </w:p>
  </w:footnote>
  <w:footnote w:id="3">
    <w:p w:rsidR="00FB30D2" w:rsidRDefault="00FB30D2" w:rsidP="00FB30D2">
      <w:pPr>
        <w:pStyle w:val="Testonotaapidipagina"/>
      </w:pPr>
      <w:r w:rsidRPr="00CD493C">
        <w:rPr>
          <w:rStyle w:val="Caratterinotaapidipagina"/>
          <w:vertAlign w:val="superscript"/>
        </w:rPr>
        <w:footnoteRef/>
      </w:r>
      <w:r>
        <w:t xml:space="preserve"> </w:t>
      </w:r>
      <w:r>
        <w:rPr>
          <w:rFonts w:ascii="Times New Roman" w:hAnsi="Times New Roman" w:cs="Times New Roman"/>
        </w:rPr>
        <w:t>La sopravvivenza per cancro in Italia – dati AIRTUM 2016</w:t>
      </w:r>
    </w:p>
  </w:footnote>
  <w:footnote w:id="4">
    <w:p w:rsidR="00FB30D2" w:rsidRPr="00DA170E" w:rsidRDefault="00FB30D2" w:rsidP="00FB30D2">
      <w:pPr>
        <w:pStyle w:val="Testonotaapidipagina"/>
        <w:rPr>
          <w:rFonts w:ascii="Times New Roman" w:hAnsi="Times New Roman"/>
        </w:rPr>
      </w:pPr>
      <w:r w:rsidRPr="00DA170E">
        <w:rPr>
          <w:rStyle w:val="Rimandonotaapidipagina"/>
        </w:rPr>
        <w:footnoteRef/>
      </w:r>
      <w:r w:rsidRPr="00DA170E">
        <w:t xml:space="preserve"> </w:t>
      </w:r>
      <w:r w:rsidRPr="005D7A71">
        <w:rPr>
          <w:rFonts w:ascii="Times New Roman" w:hAnsi="Times New Roman" w:cs="Times New Roman"/>
        </w:rPr>
        <w:t>Ra</w:t>
      </w:r>
      <w:r>
        <w:rPr>
          <w:rFonts w:ascii="Times New Roman" w:hAnsi="Times New Roman" w:cs="Times New Roman"/>
        </w:rPr>
        <w:t>zionale scientifico Rete Oncologica Regione Campania DGRC 477 del 04/11/2021; DGRC 798 del 29/12/2023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0D2" w:rsidRDefault="00FB30D2">
    <w:pPr>
      <w:pStyle w:val="Intestazione"/>
    </w:pPr>
    <w:r>
      <w:rPr>
        <w:noProof/>
      </w:rPr>
      <w:drawing>
        <wp:anchor distT="0" distB="0" distL="0" distR="0" simplePos="0" relativeHeight="251659264" behindDoc="1" locked="0" layoutInCell="1" allowOverlap="1" wp14:anchorId="7A0E15EF" wp14:editId="096C70E8">
          <wp:simplePos x="0" y="0"/>
          <wp:positionH relativeFrom="page">
            <wp:posOffset>6635115</wp:posOffset>
          </wp:positionH>
          <wp:positionV relativeFrom="topMargin">
            <wp:posOffset>100013</wp:posOffset>
          </wp:positionV>
          <wp:extent cx="692730" cy="591064"/>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692730" cy="59106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0D2" w:rsidRDefault="00FB30D2" w:rsidP="00E91614">
    <w:pPr>
      <w:pStyle w:val="Intestazione"/>
      <w:tabs>
        <w:tab w:val="clear" w:pos="4819"/>
        <w:tab w:val="clear" w:pos="9638"/>
        <w:tab w:val="left" w:pos="988"/>
      </w:tabs>
    </w:pPr>
    <w:r>
      <w:rPr>
        <w:noProof/>
      </w:rPr>
      <w:drawing>
        <wp:anchor distT="0" distB="0" distL="0" distR="0" simplePos="0" relativeHeight="31" behindDoc="1" locked="0" layoutInCell="1" allowOverlap="1">
          <wp:simplePos x="0" y="0"/>
          <wp:positionH relativeFrom="page">
            <wp:posOffset>6140021</wp:posOffset>
          </wp:positionH>
          <wp:positionV relativeFrom="page">
            <wp:posOffset>296265</wp:posOffset>
          </wp:positionV>
          <wp:extent cx="914400" cy="586740"/>
          <wp:effectExtent l="0" t="0" r="0" b="0"/>
          <wp:wrapNone/>
          <wp:docPr id="19" name="Immagine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0" descr="logo"/>
                  <pic:cNvPicPr>
                    <a:picLocks noChangeAspect="1" noChangeArrowheads="1"/>
                  </pic:cNvPicPr>
                </pic:nvPicPr>
                <pic:blipFill>
                  <a:blip r:embed="rId1"/>
                  <a:stretch>
                    <a:fillRect/>
                  </a:stretch>
                </pic:blipFill>
                <pic:spPr bwMode="auto">
                  <a:xfrm>
                    <a:off x="0" y="0"/>
                    <a:ext cx="914400" cy="586740"/>
                  </a:xfrm>
                  <a:prstGeom prst="rect">
                    <a:avLst/>
                  </a:prstGeom>
                </pic:spPr>
              </pic:pic>
            </a:graphicData>
          </a:graphic>
        </wp:anchor>
      </w:drawing>
    </w:r>
    <w:r>
      <w:tab/>
    </w:r>
  </w:p>
  <w:p w:rsidR="00FB30D2" w:rsidRDefault="00FB30D2">
    <w:pPr>
      <w:pStyle w:val="Intestazione"/>
      <w:tabs>
        <w:tab w:val="clear" w:pos="4819"/>
        <w:tab w:val="clear" w:pos="9638"/>
        <w:tab w:val="left" w:pos="752"/>
        <w:tab w:val="right" w:pos="9472"/>
      </w:tabs>
      <w:rPr>
        <w:lang w:val="en-US"/>
      </w:rPr>
    </w:pPr>
    <w:r>
      <w:rPr>
        <w:lang w:val="en-US"/>
      </w:rPr>
      <w:tab/>
    </w:r>
    <w:r>
      <w:rPr>
        <w:lang w:val="en-US"/>
      </w:rPr>
      <w:tab/>
    </w:r>
  </w:p>
  <w:p w:rsidR="00FB30D2" w:rsidRDefault="00FB30D2">
    <w:pPr>
      <w:pStyle w:val="Intestazione"/>
      <w:tabs>
        <w:tab w:val="clear" w:pos="9638"/>
        <w:tab w:val="right" w:pos="9472"/>
      </w:tabs>
      <w:ind w:firstLine="708"/>
      <w:rPr>
        <w:lang w:val="en-US"/>
      </w:rPr>
    </w:pPr>
  </w:p>
  <w:p w:rsidR="00FB30D2" w:rsidRDefault="00FB30D2">
    <w:pPr>
      <w:pStyle w:val="Intestazione"/>
      <w:tabs>
        <w:tab w:val="clear" w:pos="9638"/>
        <w:tab w:val="right" w:pos="9472"/>
      </w:tabs>
    </w:pPr>
  </w:p>
  <w:p w:rsidR="00FB30D2" w:rsidRDefault="00FB30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2AFD"/>
    <w:multiLevelType w:val="multilevel"/>
    <w:tmpl w:val="DB6423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5454C6B"/>
    <w:multiLevelType w:val="multilevel"/>
    <w:tmpl w:val="C2ACCE02"/>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9B45FCB"/>
    <w:multiLevelType w:val="multilevel"/>
    <w:tmpl w:val="648E1A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196629C"/>
    <w:multiLevelType w:val="multilevel"/>
    <w:tmpl w:val="6C708412"/>
    <w:lvl w:ilvl="0">
      <w:start w:val="1"/>
      <w:numFmt w:val="bullet"/>
      <w:lvlText w:val=""/>
      <w:lvlJc w:val="left"/>
      <w:pPr>
        <w:tabs>
          <w:tab w:val="num" w:pos="360"/>
        </w:tabs>
        <w:ind w:left="360" w:hanging="360"/>
      </w:pPr>
      <w:rPr>
        <w:rFonts w:ascii="Wingdings" w:hAnsi="Wingdings" w:cs="Wingdings" w:hint="default"/>
        <w:b/>
        <w:sz w:val="24"/>
        <w:szCs w:val="22"/>
      </w:rPr>
    </w:lvl>
    <w:lvl w:ilvl="1">
      <w:start w:val="1"/>
      <w:numFmt w:val="bullet"/>
      <w:lvlText w:val="o"/>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800"/>
        </w:tabs>
        <w:ind w:left="1800" w:hanging="360"/>
      </w:pPr>
      <w:rPr>
        <w:rFonts w:ascii="OpenSymbol" w:hAnsi="OpenSymbol" w:cs="OpenSymbol"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OpenSymbol" w:hAnsi="OpenSymbol" w:cs="OpenSymbol" w:hint="default"/>
        <w:sz w:val="24"/>
        <w:szCs w:val="24"/>
      </w:rPr>
    </w:lvl>
    <w:lvl w:ilvl="5">
      <w:start w:val="1"/>
      <w:numFmt w:val="bullet"/>
      <w:lvlText w:val="▪"/>
      <w:lvlJc w:val="left"/>
      <w:pPr>
        <w:tabs>
          <w:tab w:val="num" w:pos="3960"/>
        </w:tabs>
        <w:ind w:left="3960" w:hanging="360"/>
      </w:pPr>
      <w:rPr>
        <w:rFonts w:ascii="OpenSymbol" w:hAnsi="OpenSymbol" w:cs="OpenSymbol"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OpenSymbol" w:hAnsi="OpenSymbol" w:cs="OpenSymbol" w:hint="default"/>
        <w:sz w:val="24"/>
        <w:szCs w:val="24"/>
      </w:rPr>
    </w:lvl>
    <w:lvl w:ilvl="8">
      <w:start w:val="1"/>
      <w:numFmt w:val="bullet"/>
      <w:lvlText w:val="▪"/>
      <w:lvlJc w:val="left"/>
      <w:pPr>
        <w:tabs>
          <w:tab w:val="num" w:pos="6120"/>
        </w:tabs>
        <w:ind w:left="6120" w:hanging="360"/>
      </w:pPr>
      <w:rPr>
        <w:rFonts w:ascii="OpenSymbol" w:hAnsi="OpenSymbol" w:cs="OpenSymbol" w:hint="default"/>
        <w:sz w:val="24"/>
        <w:szCs w:val="24"/>
      </w:rPr>
    </w:lvl>
  </w:abstractNum>
  <w:abstractNum w:abstractNumId="4" w15:restartNumberingAfterBreak="0">
    <w:nsid w:val="22BC3ECE"/>
    <w:multiLevelType w:val="multilevel"/>
    <w:tmpl w:val="3DFC514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231E5EA2"/>
    <w:multiLevelType w:val="multilevel"/>
    <w:tmpl w:val="8E166D48"/>
    <w:lvl w:ilvl="0">
      <w:numFmt w:val="bullet"/>
      <w:lvlText w:val="-"/>
      <w:lvlJc w:val="left"/>
      <w:pPr>
        <w:ind w:left="36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3B75F18"/>
    <w:multiLevelType w:val="multilevel"/>
    <w:tmpl w:val="DDE8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D5438"/>
    <w:multiLevelType w:val="multilevel"/>
    <w:tmpl w:val="52F01624"/>
    <w:lvl w:ilvl="0">
      <w:start w:val="1"/>
      <w:numFmt w:val="bullet"/>
      <w:lvlText w:val=""/>
      <w:lvlJc w:val="left"/>
      <w:pPr>
        <w:tabs>
          <w:tab w:val="num" w:pos="360"/>
        </w:tabs>
        <w:ind w:left="360" w:hanging="360"/>
      </w:pPr>
      <w:rPr>
        <w:rFonts w:ascii="Wingdings" w:hAnsi="Wingdings" w:cs="Wingdings" w:hint="default"/>
        <w:b/>
        <w:sz w:val="24"/>
        <w:szCs w:val="22"/>
      </w:rPr>
    </w:lvl>
    <w:lvl w:ilvl="1">
      <w:start w:val="1"/>
      <w:numFmt w:val="bullet"/>
      <w:lvlText w:val="o"/>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800"/>
        </w:tabs>
        <w:ind w:left="1800" w:hanging="360"/>
      </w:pPr>
      <w:rPr>
        <w:rFonts w:ascii="OpenSymbol" w:hAnsi="OpenSymbol" w:cs="OpenSymbol"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OpenSymbol" w:hAnsi="OpenSymbol" w:cs="OpenSymbol" w:hint="default"/>
        <w:sz w:val="24"/>
        <w:szCs w:val="24"/>
      </w:rPr>
    </w:lvl>
    <w:lvl w:ilvl="5">
      <w:start w:val="1"/>
      <w:numFmt w:val="bullet"/>
      <w:lvlText w:val="▪"/>
      <w:lvlJc w:val="left"/>
      <w:pPr>
        <w:tabs>
          <w:tab w:val="num" w:pos="3960"/>
        </w:tabs>
        <w:ind w:left="3960" w:hanging="360"/>
      </w:pPr>
      <w:rPr>
        <w:rFonts w:ascii="OpenSymbol" w:hAnsi="OpenSymbol" w:cs="OpenSymbol"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OpenSymbol" w:hAnsi="OpenSymbol" w:cs="OpenSymbol" w:hint="default"/>
        <w:sz w:val="24"/>
        <w:szCs w:val="24"/>
      </w:rPr>
    </w:lvl>
    <w:lvl w:ilvl="8">
      <w:start w:val="1"/>
      <w:numFmt w:val="bullet"/>
      <w:lvlText w:val="▪"/>
      <w:lvlJc w:val="left"/>
      <w:pPr>
        <w:tabs>
          <w:tab w:val="num" w:pos="6120"/>
        </w:tabs>
        <w:ind w:left="6120" w:hanging="360"/>
      </w:pPr>
      <w:rPr>
        <w:rFonts w:ascii="OpenSymbol" w:hAnsi="OpenSymbol" w:cs="OpenSymbol" w:hint="default"/>
        <w:sz w:val="24"/>
        <w:szCs w:val="24"/>
      </w:rPr>
    </w:lvl>
  </w:abstractNum>
  <w:abstractNum w:abstractNumId="8" w15:restartNumberingAfterBreak="0">
    <w:nsid w:val="28F738E1"/>
    <w:multiLevelType w:val="multilevel"/>
    <w:tmpl w:val="7C44E282"/>
    <w:lvl w:ilvl="0">
      <w:start w:val="1"/>
      <w:numFmt w:val="bullet"/>
      <w:lvlText w:val=""/>
      <w:lvlJc w:val="left"/>
      <w:pPr>
        <w:tabs>
          <w:tab w:val="num" w:pos="360"/>
        </w:tabs>
        <w:ind w:left="360" w:hanging="360"/>
      </w:pPr>
      <w:rPr>
        <w:rFonts w:ascii="Wingdings" w:hAnsi="Wingdings" w:cs="Wingdings" w:hint="default"/>
        <w:b/>
        <w:sz w:val="24"/>
        <w:szCs w:val="22"/>
      </w:rPr>
    </w:lvl>
    <w:lvl w:ilvl="1">
      <w:start w:val="1"/>
      <w:numFmt w:val="bullet"/>
      <w:lvlText w:val="o"/>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800"/>
        </w:tabs>
        <w:ind w:left="1800" w:hanging="360"/>
      </w:pPr>
      <w:rPr>
        <w:rFonts w:ascii="OpenSymbol" w:hAnsi="OpenSymbol" w:cs="OpenSymbol"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OpenSymbol" w:hAnsi="OpenSymbol" w:cs="OpenSymbol" w:hint="default"/>
        <w:sz w:val="24"/>
        <w:szCs w:val="24"/>
      </w:rPr>
    </w:lvl>
    <w:lvl w:ilvl="5">
      <w:start w:val="1"/>
      <w:numFmt w:val="bullet"/>
      <w:lvlText w:val="▪"/>
      <w:lvlJc w:val="left"/>
      <w:pPr>
        <w:tabs>
          <w:tab w:val="num" w:pos="3960"/>
        </w:tabs>
        <w:ind w:left="3960" w:hanging="360"/>
      </w:pPr>
      <w:rPr>
        <w:rFonts w:ascii="OpenSymbol" w:hAnsi="OpenSymbol" w:cs="OpenSymbol"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OpenSymbol" w:hAnsi="OpenSymbol" w:cs="OpenSymbol" w:hint="default"/>
        <w:sz w:val="24"/>
        <w:szCs w:val="24"/>
      </w:rPr>
    </w:lvl>
    <w:lvl w:ilvl="8">
      <w:start w:val="1"/>
      <w:numFmt w:val="bullet"/>
      <w:lvlText w:val="▪"/>
      <w:lvlJc w:val="left"/>
      <w:pPr>
        <w:tabs>
          <w:tab w:val="num" w:pos="6120"/>
        </w:tabs>
        <w:ind w:left="6120" w:hanging="360"/>
      </w:pPr>
      <w:rPr>
        <w:rFonts w:ascii="OpenSymbol" w:hAnsi="OpenSymbol" w:cs="OpenSymbol" w:hint="default"/>
        <w:sz w:val="24"/>
        <w:szCs w:val="24"/>
      </w:rPr>
    </w:lvl>
  </w:abstractNum>
  <w:abstractNum w:abstractNumId="9" w15:restartNumberingAfterBreak="0">
    <w:nsid w:val="2C7A0B53"/>
    <w:multiLevelType w:val="multilevel"/>
    <w:tmpl w:val="3476EEBE"/>
    <w:lvl w:ilvl="0">
      <w:start w:val="1"/>
      <w:numFmt w:val="bullet"/>
      <w:lvlText w:val=""/>
      <w:lvlJc w:val="left"/>
      <w:pPr>
        <w:tabs>
          <w:tab w:val="num" w:pos="360"/>
        </w:tabs>
        <w:ind w:left="360" w:hanging="360"/>
      </w:pPr>
      <w:rPr>
        <w:rFonts w:ascii="Wingdings" w:hAnsi="Wingdings" w:cs="Wingdings" w:hint="default"/>
        <w:b/>
        <w:bCs/>
        <w:sz w:val="24"/>
        <w:szCs w:val="22"/>
      </w:rPr>
    </w:lvl>
    <w:lvl w:ilvl="1">
      <w:start w:val="1"/>
      <w:numFmt w:val="bullet"/>
      <w:lvlText w:val="o"/>
      <w:lvlJc w:val="left"/>
      <w:pPr>
        <w:tabs>
          <w:tab w:val="num" w:pos="1080"/>
        </w:tabs>
        <w:ind w:left="1080" w:hanging="360"/>
      </w:pPr>
      <w:rPr>
        <w:rFonts w:ascii="OpenSymbol" w:hAnsi="OpenSymbol" w:cs="OpenSymbol" w:hint="default"/>
        <w:b/>
        <w:bCs/>
        <w:sz w:val="24"/>
        <w:szCs w:val="24"/>
      </w:rPr>
    </w:lvl>
    <w:lvl w:ilvl="2">
      <w:start w:val="1"/>
      <w:numFmt w:val="bullet"/>
      <w:lvlText w:val="▪"/>
      <w:lvlJc w:val="left"/>
      <w:pPr>
        <w:tabs>
          <w:tab w:val="num" w:pos="1800"/>
        </w:tabs>
        <w:ind w:left="1800" w:hanging="360"/>
      </w:pPr>
      <w:rPr>
        <w:rFonts w:ascii="OpenSymbol" w:hAnsi="OpenSymbol" w:cs="OpenSymbol" w:hint="default"/>
        <w:b/>
        <w:bCs/>
        <w:sz w:val="24"/>
        <w:szCs w:val="24"/>
      </w:rPr>
    </w:lvl>
    <w:lvl w:ilvl="3">
      <w:start w:val="1"/>
      <w:numFmt w:val="bullet"/>
      <w:lvlText w:val=""/>
      <w:lvlJc w:val="left"/>
      <w:pPr>
        <w:tabs>
          <w:tab w:val="num" w:pos="2520"/>
        </w:tabs>
        <w:ind w:left="2520" w:hanging="360"/>
      </w:pPr>
      <w:rPr>
        <w:rFonts w:ascii="Symbol" w:hAnsi="Symbol" w:cs="Symbol" w:hint="default"/>
        <w:b/>
        <w:bCs/>
        <w:sz w:val="24"/>
        <w:szCs w:val="24"/>
      </w:rPr>
    </w:lvl>
    <w:lvl w:ilvl="4">
      <w:start w:val="1"/>
      <w:numFmt w:val="bullet"/>
      <w:lvlText w:val="o"/>
      <w:lvlJc w:val="left"/>
      <w:pPr>
        <w:tabs>
          <w:tab w:val="num" w:pos="3240"/>
        </w:tabs>
        <w:ind w:left="3240" w:hanging="360"/>
      </w:pPr>
      <w:rPr>
        <w:rFonts w:ascii="OpenSymbol" w:hAnsi="OpenSymbol" w:cs="OpenSymbol" w:hint="default"/>
        <w:b/>
        <w:bCs/>
        <w:sz w:val="24"/>
        <w:szCs w:val="24"/>
      </w:rPr>
    </w:lvl>
    <w:lvl w:ilvl="5">
      <w:start w:val="1"/>
      <w:numFmt w:val="bullet"/>
      <w:lvlText w:val="▪"/>
      <w:lvlJc w:val="left"/>
      <w:pPr>
        <w:tabs>
          <w:tab w:val="num" w:pos="3960"/>
        </w:tabs>
        <w:ind w:left="3960" w:hanging="360"/>
      </w:pPr>
      <w:rPr>
        <w:rFonts w:ascii="OpenSymbol" w:hAnsi="OpenSymbol" w:cs="OpenSymbol" w:hint="default"/>
        <w:b/>
        <w:bCs/>
        <w:sz w:val="24"/>
        <w:szCs w:val="24"/>
      </w:rPr>
    </w:lvl>
    <w:lvl w:ilvl="6">
      <w:start w:val="1"/>
      <w:numFmt w:val="bullet"/>
      <w:lvlText w:val=""/>
      <w:lvlJc w:val="left"/>
      <w:pPr>
        <w:tabs>
          <w:tab w:val="num" w:pos="4680"/>
        </w:tabs>
        <w:ind w:left="4680" w:hanging="360"/>
      </w:pPr>
      <w:rPr>
        <w:rFonts w:ascii="Symbol" w:hAnsi="Symbol" w:cs="Symbol" w:hint="default"/>
        <w:b/>
        <w:bCs/>
        <w:sz w:val="24"/>
        <w:szCs w:val="24"/>
      </w:rPr>
    </w:lvl>
    <w:lvl w:ilvl="7">
      <w:start w:val="1"/>
      <w:numFmt w:val="bullet"/>
      <w:lvlText w:val="o"/>
      <w:lvlJc w:val="left"/>
      <w:pPr>
        <w:tabs>
          <w:tab w:val="num" w:pos="5400"/>
        </w:tabs>
        <w:ind w:left="5400" w:hanging="360"/>
      </w:pPr>
      <w:rPr>
        <w:rFonts w:ascii="OpenSymbol" w:hAnsi="OpenSymbol" w:cs="OpenSymbol" w:hint="default"/>
        <w:b/>
        <w:bCs/>
        <w:sz w:val="24"/>
        <w:szCs w:val="24"/>
      </w:rPr>
    </w:lvl>
    <w:lvl w:ilvl="8">
      <w:start w:val="1"/>
      <w:numFmt w:val="bullet"/>
      <w:lvlText w:val="▪"/>
      <w:lvlJc w:val="left"/>
      <w:pPr>
        <w:tabs>
          <w:tab w:val="num" w:pos="6120"/>
        </w:tabs>
        <w:ind w:left="6120" w:hanging="360"/>
      </w:pPr>
      <w:rPr>
        <w:rFonts w:ascii="OpenSymbol" w:hAnsi="OpenSymbol" w:cs="OpenSymbol" w:hint="default"/>
        <w:b/>
        <w:bCs/>
        <w:sz w:val="24"/>
        <w:szCs w:val="24"/>
      </w:rPr>
    </w:lvl>
  </w:abstractNum>
  <w:abstractNum w:abstractNumId="10" w15:restartNumberingAfterBreak="0">
    <w:nsid w:val="3B532FCA"/>
    <w:multiLevelType w:val="hybridMultilevel"/>
    <w:tmpl w:val="C8E470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E117A9"/>
    <w:multiLevelType w:val="multilevel"/>
    <w:tmpl w:val="C66CC4A4"/>
    <w:lvl w:ilvl="0">
      <w:start w:val="1"/>
      <w:numFmt w:val="bullet"/>
      <w:lvlText w:val=""/>
      <w:lvlJc w:val="left"/>
      <w:pPr>
        <w:tabs>
          <w:tab w:val="num" w:pos="360"/>
        </w:tabs>
        <w:ind w:left="360" w:hanging="360"/>
      </w:pPr>
      <w:rPr>
        <w:rFonts w:ascii="Wingdings" w:hAnsi="Wingdings" w:cs="Wingdings" w:hint="default"/>
        <w:b/>
        <w:sz w:val="24"/>
        <w:szCs w:val="22"/>
      </w:rPr>
    </w:lvl>
    <w:lvl w:ilvl="1">
      <w:start w:val="1"/>
      <w:numFmt w:val="bullet"/>
      <w:lvlText w:val="o"/>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800"/>
        </w:tabs>
        <w:ind w:left="1800" w:hanging="360"/>
      </w:pPr>
      <w:rPr>
        <w:rFonts w:ascii="OpenSymbol" w:hAnsi="OpenSymbol" w:cs="OpenSymbol"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OpenSymbol" w:hAnsi="OpenSymbol" w:cs="OpenSymbol" w:hint="default"/>
        <w:sz w:val="24"/>
        <w:szCs w:val="24"/>
      </w:rPr>
    </w:lvl>
    <w:lvl w:ilvl="5">
      <w:start w:val="1"/>
      <w:numFmt w:val="bullet"/>
      <w:lvlText w:val="▪"/>
      <w:lvlJc w:val="left"/>
      <w:pPr>
        <w:tabs>
          <w:tab w:val="num" w:pos="3960"/>
        </w:tabs>
        <w:ind w:left="3960" w:hanging="360"/>
      </w:pPr>
      <w:rPr>
        <w:rFonts w:ascii="OpenSymbol" w:hAnsi="OpenSymbol" w:cs="OpenSymbol"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OpenSymbol" w:hAnsi="OpenSymbol" w:cs="OpenSymbol" w:hint="default"/>
        <w:sz w:val="24"/>
        <w:szCs w:val="24"/>
      </w:rPr>
    </w:lvl>
    <w:lvl w:ilvl="8">
      <w:start w:val="1"/>
      <w:numFmt w:val="bullet"/>
      <w:lvlText w:val="▪"/>
      <w:lvlJc w:val="left"/>
      <w:pPr>
        <w:tabs>
          <w:tab w:val="num" w:pos="6120"/>
        </w:tabs>
        <w:ind w:left="6120" w:hanging="360"/>
      </w:pPr>
      <w:rPr>
        <w:rFonts w:ascii="OpenSymbol" w:hAnsi="OpenSymbol" w:cs="OpenSymbol" w:hint="default"/>
        <w:sz w:val="24"/>
        <w:szCs w:val="24"/>
      </w:rPr>
    </w:lvl>
  </w:abstractNum>
  <w:abstractNum w:abstractNumId="12" w15:restartNumberingAfterBreak="0">
    <w:nsid w:val="42DD6794"/>
    <w:multiLevelType w:val="multilevel"/>
    <w:tmpl w:val="E1AAF582"/>
    <w:lvl w:ilvl="0">
      <w:start w:val="1"/>
      <w:numFmt w:val="bullet"/>
      <w:lvlText w:val="-"/>
      <w:lvlJc w:val="left"/>
      <w:pPr>
        <w:tabs>
          <w:tab w:val="num" w:pos="720"/>
        </w:tabs>
        <w:ind w:left="720" w:hanging="360"/>
      </w:pPr>
      <w:rPr>
        <w:rFonts w:ascii="OpenSymbol" w:hAnsi="OpenSymbol" w:cs="OpenSymbol" w:hint="default"/>
        <w:sz w:val="24"/>
        <w:szCs w:val="22"/>
      </w:rPr>
    </w:lvl>
    <w:lvl w:ilvl="1">
      <w:start w:val="1"/>
      <w:numFmt w:val="bullet"/>
      <w:lvlText w:val="o"/>
      <w:lvlJc w:val="left"/>
      <w:pPr>
        <w:tabs>
          <w:tab w:val="num" w:pos="1440"/>
        </w:tabs>
        <w:ind w:left="1440" w:hanging="360"/>
      </w:pPr>
      <w:rPr>
        <w:rFonts w:ascii="OpenSymbol" w:hAnsi="OpenSymbol" w:cs="OpenSymbol" w:hint="default"/>
        <w:sz w:val="24"/>
        <w:szCs w:val="24"/>
      </w:rPr>
    </w:lvl>
    <w:lvl w:ilvl="2">
      <w:start w:val="1"/>
      <w:numFmt w:val="bullet"/>
      <w:lvlText w:val="▪"/>
      <w:lvlJc w:val="left"/>
      <w:pPr>
        <w:tabs>
          <w:tab w:val="num" w:pos="2160"/>
        </w:tabs>
        <w:ind w:left="2160" w:hanging="360"/>
      </w:pPr>
      <w:rPr>
        <w:rFonts w:ascii="OpenSymbol" w:hAnsi="OpenSymbol" w:cs="OpenSymbol"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OpenSymbol" w:hAnsi="OpenSymbol" w:cs="OpenSymbol" w:hint="default"/>
        <w:sz w:val="24"/>
        <w:szCs w:val="24"/>
      </w:rPr>
    </w:lvl>
    <w:lvl w:ilvl="5">
      <w:start w:val="1"/>
      <w:numFmt w:val="bullet"/>
      <w:lvlText w:val="▪"/>
      <w:lvlJc w:val="left"/>
      <w:pPr>
        <w:tabs>
          <w:tab w:val="num" w:pos="4320"/>
        </w:tabs>
        <w:ind w:left="4320" w:hanging="360"/>
      </w:pPr>
      <w:rPr>
        <w:rFonts w:ascii="OpenSymbol" w:hAnsi="OpenSymbol" w:cs="OpenSymbol"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OpenSymbol" w:hAnsi="OpenSymbol" w:cs="OpenSymbol" w:hint="default"/>
        <w:sz w:val="24"/>
        <w:szCs w:val="24"/>
      </w:rPr>
    </w:lvl>
    <w:lvl w:ilvl="8">
      <w:start w:val="1"/>
      <w:numFmt w:val="bullet"/>
      <w:lvlText w:val="▪"/>
      <w:lvlJc w:val="left"/>
      <w:pPr>
        <w:tabs>
          <w:tab w:val="num" w:pos="6480"/>
        </w:tabs>
        <w:ind w:left="6480" w:hanging="360"/>
      </w:pPr>
      <w:rPr>
        <w:rFonts w:ascii="OpenSymbol" w:hAnsi="OpenSymbol" w:cs="OpenSymbol" w:hint="default"/>
        <w:sz w:val="24"/>
        <w:szCs w:val="24"/>
      </w:rPr>
    </w:lvl>
  </w:abstractNum>
  <w:abstractNum w:abstractNumId="13" w15:restartNumberingAfterBreak="0">
    <w:nsid w:val="43403D42"/>
    <w:multiLevelType w:val="multilevel"/>
    <w:tmpl w:val="A8844BCC"/>
    <w:lvl w:ilvl="0">
      <w:start w:val="1"/>
      <w:numFmt w:val="bullet"/>
      <w:lvlText w:val=""/>
      <w:lvlJc w:val="left"/>
      <w:pPr>
        <w:tabs>
          <w:tab w:val="num" w:pos="360"/>
        </w:tabs>
        <w:ind w:left="360" w:hanging="360"/>
      </w:pPr>
      <w:rPr>
        <w:rFonts w:ascii="Wingdings" w:hAnsi="Wingdings" w:cs="Wingdings" w:hint="default"/>
        <w:b/>
        <w:sz w:val="24"/>
        <w:szCs w:val="22"/>
      </w:rPr>
    </w:lvl>
    <w:lvl w:ilvl="1">
      <w:start w:val="1"/>
      <w:numFmt w:val="bullet"/>
      <w:lvlText w:val="o"/>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800"/>
        </w:tabs>
        <w:ind w:left="1800" w:hanging="360"/>
      </w:pPr>
      <w:rPr>
        <w:rFonts w:ascii="OpenSymbol" w:hAnsi="OpenSymbol" w:cs="OpenSymbol"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OpenSymbol" w:hAnsi="OpenSymbol" w:cs="OpenSymbol" w:hint="default"/>
        <w:sz w:val="24"/>
        <w:szCs w:val="24"/>
      </w:rPr>
    </w:lvl>
    <w:lvl w:ilvl="5">
      <w:start w:val="1"/>
      <w:numFmt w:val="bullet"/>
      <w:lvlText w:val="▪"/>
      <w:lvlJc w:val="left"/>
      <w:pPr>
        <w:tabs>
          <w:tab w:val="num" w:pos="3960"/>
        </w:tabs>
        <w:ind w:left="3960" w:hanging="360"/>
      </w:pPr>
      <w:rPr>
        <w:rFonts w:ascii="OpenSymbol" w:hAnsi="OpenSymbol" w:cs="OpenSymbol"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OpenSymbol" w:hAnsi="OpenSymbol" w:cs="OpenSymbol" w:hint="default"/>
        <w:sz w:val="24"/>
        <w:szCs w:val="24"/>
      </w:rPr>
    </w:lvl>
    <w:lvl w:ilvl="8">
      <w:start w:val="1"/>
      <w:numFmt w:val="bullet"/>
      <w:lvlText w:val="▪"/>
      <w:lvlJc w:val="left"/>
      <w:pPr>
        <w:tabs>
          <w:tab w:val="num" w:pos="6120"/>
        </w:tabs>
        <w:ind w:left="6120" w:hanging="360"/>
      </w:pPr>
      <w:rPr>
        <w:rFonts w:ascii="OpenSymbol" w:hAnsi="OpenSymbol" w:cs="OpenSymbol" w:hint="default"/>
        <w:sz w:val="24"/>
        <w:szCs w:val="24"/>
      </w:rPr>
    </w:lvl>
  </w:abstractNum>
  <w:abstractNum w:abstractNumId="14" w15:restartNumberingAfterBreak="0">
    <w:nsid w:val="43B64CD3"/>
    <w:multiLevelType w:val="hybridMultilevel"/>
    <w:tmpl w:val="708E865A"/>
    <w:lvl w:ilvl="0" w:tplc="03902720">
      <w:start w:val="19"/>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1AB5F33"/>
    <w:multiLevelType w:val="multilevel"/>
    <w:tmpl w:val="E174E084"/>
    <w:lvl w:ilvl="0">
      <w:start w:val="1"/>
      <w:numFmt w:val="bullet"/>
      <w:lvlText w:val="-"/>
      <w:lvlJc w:val="left"/>
      <w:pPr>
        <w:tabs>
          <w:tab w:val="num" w:pos="720"/>
        </w:tabs>
        <w:ind w:left="720" w:hanging="360"/>
      </w:pPr>
      <w:rPr>
        <w:rFonts w:ascii="OpenSymbol" w:hAnsi="OpenSymbol" w:cs="OpenSymbol" w:hint="default"/>
        <w:sz w:val="24"/>
        <w:szCs w:val="22"/>
      </w:rPr>
    </w:lvl>
    <w:lvl w:ilvl="1">
      <w:start w:val="1"/>
      <w:numFmt w:val="bullet"/>
      <w:lvlText w:val="o"/>
      <w:lvlJc w:val="left"/>
      <w:pPr>
        <w:tabs>
          <w:tab w:val="num" w:pos="1440"/>
        </w:tabs>
        <w:ind w:left="1440" w:hanging="360"/>
      </w:pPr>
      <w:rPr>
        <w:rFonts w:ascii="OpenSymbol" w:hAnsi="OpenSymbol" w:cs="OpenSymbol" w:hint="default"/>
        <w:sz w:val="24"/>
        <w:szCs w:val="24"/>
      </w:rPr>
    </w:lvl>
    <w:lvl w:ilvl="2">
      <w:start w:val="1"/>
      <w:numFmt w:val="bullet"/>
      <w:lvlText w:val="▪"/>
      <w:lvlJc w:val="left"/>
      <w:pPr>
        <w:tabs>
          <w:tab w:val="num" w:pos="2160"/>
        </w:tabs>
        <w:ind w:left="2160" w:hanging="360"/>
      </w:pPr>
      <w:rPr>
        <w:rFonts w:ascii="OpenSymbol" w:hAnsi="OpenSymbol" w:cs="OpenSymbol"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OpenSymbol" w:hAnsi="OpenSymbol" w:cs="OpenSymbol" w:hint="default"/>
        <w:sz w:val="24"/>
        <w:szCs w:val="24"/>
      </w:rPr>
    </w:lvl>
    <w:lvl w:ilvl="5">
      <w:start w:val="1"/>
      <w:numFmt w:val="bullet"/>
      <w:lvlText w:val="▪"/>
      <w:lvlJc w:val="left"/>
      <w:pPr>
        <w:tabs>
          <w:tab w:val="num" w:pos="4320"/>
        </w:tabs>
        <w:ind w:left="4320" w:hanging="360"/>
      </w:pPr>
      <w:rPr>
        <w:rFonts w:ascii="OpenSymbol" w:hAnsi="OpenSymbol" w:cs="OpenSymbol"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OpenSymbol" w:hAnsi="OpenSymbol" w:cs="OpenSymbol" w:hint="default"/>
        <w:sz w:val="24"/>
        <w:szCs w:val="24"/>
      </w:rPr>
    </w:lvl>
    <w:lvl w:ilvl="8">
      <w:start w:val="1"/>
      <w:numFmt w:val="bullet"/>
      <w:lvlText w:val="▪"/>
      <w:lvlJc w:val="left"/>
      <w:pPr>
        <w:tabs>
          <w:tab w:val="num" w:pos="6480"/>
        </w:tabs>
        <w:ind w:left="6480" w:hanging="360"/>
      </w:pPr>
      <w:rPr>
        <w:rFonts w:ascii="OpenSymbol" w:hAnsi="OpenSymbol" w:cs="OpenSymbol" w:hint="default"/>
        <w:sz w:val="24"/>
        <w:szCs w:val="24"/>
      </w:rPr>
    </w:lvl>
  </w:abstractNum>
  <w:abstractNum w:abstractNumId="16" w15:restartNumberingAfterBreak="0">
    <w:nsid w:val="581C0181"/>
    <w:multiLevelType w:val="multilevel"/>
    <w:tmpl w:val="C87CE67C"/>
    <w:lvl w:ilvl="0">
      <w:start w:val="1"/>
      <w:numFmt w:val="bullet"/>
      <w:lvlText w:val="-"/>
      <w:lvlJc w:val="left"/>
      <w:pPr>
        <w:tabs>
          <w:tab w:val="num" w:pos="360"/>
        </w:tabs>
        <w:ind w:left="360" w:hanging="360"/>
      </w:pPr>
      <w:rPr>
        <w:rFonts w:ascii="OpenSymbol" w:hAnsi="OpenSymbol" w:cs="OpenSymbol" w:hint="default"/>
        <w:sz w:val="24"/>
        <w:szCs w:val="22"/>
      </w:rPr>
    </w:lvl>
    <w:lvl w:ilvl="1">
      <w:start w:val="1"/>
      <w:numFmt w:val="bullet"/>
      <w:lvlText w:val="o"/>
      <w:lvlJc w:val="left"/>
      <w:pPr>
        <w:tabs>
          <w:tab w:val="num" w:pos="1440"/>
        </w:tabs>
        <w:ind w:left="1440" w:hanging="360"/>
      </w:pPr>
      <w:rPr>
        <w:rFonts w:ascii="OpenSymbol" w:hAnsi="OpenSymbol" w:cs="OpenSymbol" w:hint="default"/>
        <w:sz w:val="24"/>
        <w:szCs w:val="24"/>
      </w:rPr>
    </w:lvl>
    <w:lvl w:ilvl="2">
      <w:start w:val="1"/>
      <w:numFmt w:val="bullet"/>
      <w:lvlText w:val="▪"/>
      <w:lvlJc w:val="left"/>
      <w:pPr>
        <w:tabs>
          <w:tab w:val="num" w:pos="2160"/>
        </w:tabs>
        <w:ind w:left="2160" w:hanging="360"/>
      </w:pPr>
      <w:rPr>
        <w:rFonts w:ascii="OpenSymbol" w:hAnsi="OpenSymbol" w:cs="OpenSymbol"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OpenSymbol" w:hAnsi="OpenSymbol" w:cs="OpenSymbol" w:hint="default"/>
        <w:sz w:val="24"/>
        <w:szCs w:val="24"/>
      </w:rPr>
    </w:lvl>
    <w:lvl w:ilvl="5">
      <w:start w:val="1"/>
      <w:numFmt w:val="bullet"/>
      <w:lvlText w:val="▪"/>
      <w:lvlJc w:val="left"/>
      <w:pPr>
        <w:tabs>
          <w:tab w:val="num" w:pos="4320"/>
        </w:tabs>
        <w:ind w:left="4320" w:hanging="360"/>
      </w:pPr>
      <w:rPr>
        <w:rFonts w:ascii="OpenSymbol" w:hAnsi="OpenSymbol" w:cs="OpenSymbol"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OpenSymbol" w:hAnsi="OpenSymbol" w:cs="OpenSymbol" w:hint="default"/>
        <w:sz w:val="24"/>
        <w:szCs w:val="24"/>
      </w:rPr>
    </w:lvl>
    <w:lvl w:ilvl="8">
      <w:start w:val="1"/>
      <w:numFmt w:val="bullet"/>
      <w:lvlText w:val="▪"/>
      <w:lvlJc w:val="left"/>
      <w:pPr>
        <w:tabs>
          <w:tab w:val="num" w:pos="6480"/>
        </w:tabs>
        <w:ind w:left="6480" w:hanging="360"/>
      </w:pPr>
      <w:rPr>
        <w:rFonts w:ascii="OpenSymbol" w:hAnsi="OpenSymbol" w:cs="OpenSymbol" w:hint="default"/>
        <w:sz w:val="24"/>
        <w:szCs w:val="24"/>
      </w:rPr>
    </w:lvl>
  </w:abstractNum>
  <w:abstractNum w:abstractNumId="17" w15:restartNumberingAfterBreak="0">
    <w:nsid w:val="5BAE629C"/>
    <w:multiLevelType w:val="multilevel"/>
    <w:tmpl w:val="6FA8FFF0"/>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15:restartNumberingAfterBreak="0">
    <w:nsid w:val="66145FFE"/>
    <w:multiLevelType w:val="multilevel"/>
    <w:tmpl w:val="CE44BEE2"/>
    <w:lvl w:ilvl="0">
      <w:start w:val="1"/>
      <w:numFmt w:val="bullet"/>
      <w:lvlText w:val=""/>
      <w:lvlJc w:val="left"/>
      <w:pPr>
        <w:tabs>
          <w:tab w:val="num" w:pos="360"/>
        </w:tabs>
        <w:ind w:left="360" w:hanging="360"/>
      </w:pPr>
      <w:rPr>
        <w:rFonts w:ascii="Wingdings" w:hAnsi="Wingdings" w:cs="Wingdings" w:hint="default"/>
        <w:b/>
        <w:sz w:val="24"/>
        <w:szCs w:val="22"/>
      </w:rPr>
    </w:lvl>
    <w:lvl w:ilvl="1">
      <w:start w:val="1"/>
      <w:numFmt w:val="bullet"/>
      <w:lvlText w:val="o"/>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800"/>
        </w:tabs>
        <w:ind w:left="1800" w:hanging="360"/>
      </w:pPr>
      <w:rPr>
        <w:rFonts w:ascii="OpenSymbol" w:hAnsi="OpenSymbol" w:cs="OpenSymbol"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OpenSymbol" w:hAnsi="OpenSymbol" w:cs="OpenSymbol" w:hint="default"/>
        <w:sz w:val="24"/>
        <w:szCs w:val="24"/>
      </w:rPr>
    </w:lvl>
    <w:lvl w:ilvl="5">
      <w:start w:val="1"/>
      <w:numFmt w:val="bullet"/>
      <w:lvlText w:val="▪"/>
      <w:lvlJc w:val="left"/>
      <w:pPr>
        <w:tabs>
          <w:tab w:val="num" w:pos="3960"/>
        </w:tabs>
        <w:ind w:left="3960" w:hanging="360"/>
      </w:pPr>
      <w:rPr>
        <w:rFonts w:ascii="OpenSymbol" w:hAnsi="OpenSymbol" w:cs="OpenSymbol"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OpenSymbol" w:hAnsi="OpenSymbol" w:cs="OpenSymbol" w:hint="default"/>
        <w:sz w:val="24"/>
        <w:szCs w:val="24"/>
      </w:rPr>
    </w:lvl>
    <w:lvl w:ilvl="8">
      <w:start w:val="1"/>
      <w:numFmt w:val="bullet"/>
      <w:lvlText w:val="▪"/>
      <w:lvlJc w:val="left"/>
      <w:pPr>
        <w:tabs>
          <w:tab w:val="num" w:pos="6120"/>
        </w:tabs>
        <w:ind w:left="6120" w:hanging="360"/>
      </w:pPr>
      <w:rPr>
        <w:rFonts w:ascii="OpenSymbol" w:hAnsi="OpenSymbol" w:cs="OpenSymbol" w:hint="default"/>
        <w:sz w:val="24"/>
        <w:szCs w:val="24"/>
      </w:rPr>
    </w:lvl>
  </w:abstractNum>
  <w:abstractNum w:abstractNumId="19" w15:restartNumberingAfterBreak="0">
    <w:nsid w:val="66BF7A55"/>
    <w:multiLevelType w:val="multilevel"/>
    <w:tmpl w:val="D4B242E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6A063FF3"/>
    <w:multiLevelType w:val="multilevel"/>
    <w:tmpl w:val="3AA05DAC"/>
    <w:lvl w:ilvl="0">
      <w:start w:val="1"/>
      <w:numFmt w:val="bullet"/>
      <w:lvlText w:val=""/>
      <w:lvlJc w:val="left"/>
      <w:pPr>
        <w:tabs>
          <w:tab w:val="num" w:pos="360"/>
        </w:tabs>
        <w:ind w:left="360" w:hanging="360"/>
      </w:pPr>
      <w:rPr>
        <w:rFonts w:ascii="Wingdings" w:hAnsi="Wingdings" w:cs="Wingdings" w:hint="default"/>
        <w:b/>
        <w:sz w:val="24"/>
        <w:szCs w:val="22"/>
      </w:rPr>
    </w:lvl>
    <w:lvl w:ilvl="1">
      <w:start w:val="1"/>
      <w:numFmt w:val="bullet"/>
      <w:lvlText w:val="o"/>
      <w:lvlJc w:val="left"/>
      <w:pPr>
        <w:tabs>
          <w:tab w:val="num" w:pos="1080"/>
        </w:tabs>
        <w:ind w:left="1080" w:hanging="360"/>
      </w:pPr>
      <w:rPr>
        <w:rFonts w:ascii="OpenSymbol" w:hAnsi="OpenSymbol" w:cs="OpenSymbol" w:hint="default"/>
        <w:sz w:val="24"/>
        <w:szCs w:val="24"/>
      </w:rPr>
    </w:lvl>
    <w:lvl w:ilvl="2">
      <w:start w:val="1"/>
      <w:numFmt w:val="bullet"/>
      <w:lvlText w:val="▪"/>
      <w:lvlJc w:val="left"/>
      <w:pPr>
        <w:tabs>
          <w:tab w:val="num" w:pos="1800"/>
        </w:tabs>
        <w:ind w:left="1800" w:hanging="360"/>
      </w:pPr>
      <w:rPr>
        <w:rFonts w:ascii="OpenSymbol" w:hAnsi="OpenSymbol" w:cs="OpenSymbol"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OpenSymbol" w:hAnsi="OpenSymbol" w:cs="OpenSymbol" w:hint="default"/>
        <w:sz w:val="24"/>
        <w:szCs w:val="24"/>
      </w:rPr>
    </w:lvl>
    <w:lvl w:ilvl="5">
      <w:start w:val="1"/>
      <w:numFmt w:val="bullet"/>
      <w:lvlText w:val="▪"/>
      <w:lvlJc w:val="left"/>
      <w:pPr>
        <w:tabs>
          <w:tab w:val="num" w:pos="3960"/>
        </w:tabs>
        <w:ind w:left="3960" w:hanging="360"/>
      </w:pPr>
      <w:rPr>
        <w:rFonts w:ascii="OpenSymbol" w:hAnsi="OpenSymbol" w:cs="OpenSymbol"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OpenSymbol" w:hAnsi="OpenSymbol" w:cs="OpenSymbol" w:hint="default"/>
        <w:sz w:val="24"/>
        <w:szCs w:val="24"/>
      </w:rPr>
    </w:lvl>
    <w:lvl w:ilvl="8">
      <w:start w:val="1"/>
      <w:numFmt w:val="bullet"/>
      <w:lvlText w:val="▪"/>
      <w:lvlJc w:val="left"/>
      <w:pPr>
        <w:tabs>
          <w:tab w:val="num" w:pos="6120"/>
        </w:tabs>
        <w:ind w:left="6120" w:hanging="360"/>
      </w:pPr>
      <w:rPr>
        <w:rFonts w:ascii="OpenSymbol" w:hAnsi="OpenSymbol" w:cs="OpenSymbol" w:hint="default"/>
        <w:sz w:val="24"/>
        <w:szCs w:val="24"/>
      </w:rPr>
    </w:lvl>
  </w:abstractNum>
  <w:abstractNum w:abstractNumId="21" w15:restartNumberingAfterBreak="0">
    <w:nsid w:val="6C967E80"/>
    <w:multiLevelType w:val="multilevel"/>
    <w:tmpl w:val="734A730C"/>
    <w:lvl w:ilvl="0">
      <w:start w:val="1"/>
      <w:numFmt w:val="bullet"/>
      <w:lvlText w:val="-"/>
      <w:lvlJc w:val="left"/>
      <w:pPr>
        <w:ind w:left="360" w:hanging="360"/>
      </w:pPr>
      <w:rPr>
        <w:rFonts w:ascii="Times New Roman" w:hAnsi="Times New Roman" w:cs="Times New Roman"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74163E2B"/>
    <w:multiLevelType w:val="hybridMultilevel"/>
    <w:tmpl w:val="4B6E41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92301E9"/>
    <w:multiLevelType w:val="hybridMultilevel"/>
    <w:tmpl w:val="F58247D2"/>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4" w15:restartNumberingAfterBreak="0">
    <w:nsid w:val="7DA03AD9"/>
    <w:multiLevelType w:val="multilevel"/>
    <w:tmpl w:val="9C888A9C"/>
    <w:lvl w:ilvl="0">
      <w:start w:val="1"/>
      <w:numFmt w:val="bullet"/>
      <w:lvlText w:val="-"/>
      <w:lvlJc w:val="left"/>
      <w:pPr>
        <w:ind w:left="36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F3614AC"/>
    <w:multiLevelType w:val="multilevel"/>
    <w:tmpl w:val="77E27798"/>
    <w:lvl w:ilvl="0">
      <w:start w:val="1"/>
      <w:numFmt w:val="bullet"/>
      <w:lvlText w:val="-"/>
      <w:lvlJc w:val="left"/>
      <w:pPr>
        <w:tabs>
          <w:tab w:val="num" w:pos="720"/>
        </w:tabs>
        <w:ind w:left="720" w:hanging="360"/>
      </w:pPr>
      <w:rPr>
        <w:rFonts w:ascii="OpenSymbol" w:hAnsi="OpenSymbol" w:cs="OpenSymbol" w:hint="default"/>
        <w:sz w:val="24"/>
        <w:szCs w:val="22"/>
      </w:rPr>
    </w:lvl>
    <w:lvl w:ilvl="1">
      <w:start w:val="1"/>
      <w:numFmt w:val="bullet"/>
      <w:lvlText w:val="o"/>
      <w:lvlJc w:val="left"/>
      <w:pPr>
        <w:tabs>
          <w:tab w:val="num" w:pos="1440"/>
        </w:tabs>
        <w:ind w:left="1440" w:hanging="360"/>
      </w:pPr>
      <w:rPr>
        <w:rFonts w:ascii="OpenSymbol" w:hAnsi="OpenSymbol" w:cs="OpenSymbol" w:hint="default"/>
        <w:sz w:val="24"/>
        <w:szCs w:val="24"/>
      </w:rPr>
    </w:lvl>
    <w:lvl w:ilvl="2">
      <w:start w:val="1"/>
      <w:numFmt w:val="bullet"/>
      <w:lvlText w:val="▪"/>
      <w:lvlJc w:val="left"/>
      <w:pPr>
        <w:tabs>
          <w:tab w:val="num" w:pos="2160"/>
        </w:tabs>
        <w:ind w:left="2160" w:hanging="360"/>
      </w:pPr>
      <w:rPr>
        <w:rFonts w:ascii="OpenSymbol" w:hAnsi="OpenSymbol" w:cs="OpenSymbol"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OpenSymbol" w:hAnsi="OpenSymbol" w:cs="OpenSymbol" w:hint="default"/>
        <w:sz w:val="24"/>
        <w:szCs w:val="24"/>
      </w:rPr>
    </w:lvl>
    <w:lvl w:ilvl="5">
      <w:start w:val="1"/>
      <w:numFmt w:val="bullet"/>
      <w:lvlText w:val="▪"/>
      <w:lvlJc w:val="left"/>
      <w:pPr>
        <w:tabs>
          <w:tab w:val="num" w:pos="4320"/>
        </w:tabs>
        <w:ind w:left="4320" w:hanging="360"/>
      </w:pPr>
      <w:rPr>
        <w:rFonts w:ascii="OpenSymbol" w:hAnsi="OpenSymbol" w:cs="OpenSymbol"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OpenSymbol" w:hAnsi="OpenSymbol" w:cs="OpenSymbol" w:hint="default"/>
        <w:sz w:val="24"/>
        <w:szCs w:val="24"/>
      </w:rPr>
    </w:lvl>
    <w:lvl w:ilvl="8">
      <w:start w:val="1"/>
      <w:numFmt w:val="bullet"/>
      <w:lvlText w:val="▪"/>
      <w:lvlJc w:val="left"/>
      <w:pPr>
        <w:tabs>
          <w:tab w:val="num" w:pos="6480"/>
        </w:tabs>
        <w:ind w:left="6480" w:hanging="360"/>
      </w:pPr>
      <w:rPr>
        <w:rFonts w:ascii="OpenSymbol" w:hAnsi="OpenSymbol" w:cs="OpenSymbol" w:hint="default"/>
        <w:sz w:val="24"/>
        <w:szCs w:val="24"/>
      </w:rPr>
    </w:lvl>
  </w:abstractNum>
  <w:num w:numId="1">
    <w:abstractNumId w:val="12"/>
  </w:num>
  <w:num w:numId="2">
    <w:abstractNumId w:val="25"/>
  </w:num>
  <w:num w:numId="3">
    <w:abstractNumId w:val="15"/>
  </w:num>
  <w:num w:numId="4">
    <w:abstractNumId w:val="16"/>
  </w:num>
  <w:num w:numId="5">
    <w:abstractNumId w:val="18"/>
  </w:num>
  <w:num w:numId="6">
    <w:abstractNumId w:val="13"/>
  </w:num>
  <w:num w:numId="7">
    <w:abstractNumId w:val="8"/>
  </w:num>
  <w:num w:numId="8">
    <w:abstractNumId w:val="9"/>
  </w:num>
  <w:num w:numId="9">
    <w:abstractNumId w:val="11"/>
  </w:num>
  <w:num w:numId="10">
    <w:abstractNumId w:val="7"/>
  </w:num>
  <w:num w:numId="11">
    <w:abstractNumId w:val="20"/>
  </w:num>
  <w:num w:numId="12">
    <w:abstractNumId w:val="3"/>
  </w:num>
  <w:num w:numId="13">
    <w:abstractNumId w:val="0"/>
  </w:num>
  <w:num w:numId="14">
    <w:abstractNumId w:val="4"/>
  </w:num>
  <w:num w:numId="15">
    <w:abstractNumId w:val="1"/>
  </w:num>
  <w:num w:numId="16">
    <w:abstractNumId w:val="17"/>
  </w:num>
  <w:num w:numId="17">
    <w:abstractNumId w:val="5"/>
  </w:num>
  <w:num w:numId="18">
    <w:abstractNumId w:val="21"/>
  </w:num>
  <w:num w:numId="19">
    <w:abstractNumId w:val="24"/>
  </w:num>
  <w:num w:numId="20">
    <w:abstractNumId w:val="2"/>
  </w:num>
  <w:num w:numId="21">
    <w:abstractNumId w:val="10"/>
  </w:num>
  <w:num w:numId="22">
    <w:abstractNumId w:val="14"/>
  </w:num>
  <w:num w:numId="23">
    <w:abstractNumId w:val="6"/>
  </w:num>
  <w:num w:numId="24">
    <w:abstractNumId w:val="22"/>
  </w:num>
  <w:num w:numId="25">
    <w:abstractNumId w:val="19"/>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F65"/>
    <w:rsid w:val="00036E47"/>
    <w:rsid w:val="0017750F"/>
    <w:rsid w:val="00181F38"/>
    <w:rsid w:val="001F2F65"/>
    <w:rsid w:val="00225A7B"/>
    <w:rsid w:val="00244B13"/>
    <w:rsid w:val="002740EA"/>
    <w:rsid w:val="002B7666"/>
    <w:rsid w:val="002B7B63"/>
    <w:rsid w:val="002E5F17"/>
    <w:rsid w:val="002F4633"/>
    <w:rsid w:val="00310D79"/>
    <w:rsid w:val="004158A9"/>
    <w:rsid w:val="00444526"/>
    <w:rsid w:val="004C7023"/>
    <w:rsid w:val="0051528C"/>
    <w:rsid w:val="005171B3"/>
    <w:rsid w:val="005245BE"/>
    <w:rsid w:val="005261A4"/>
    <w:rsid w:val="005C71B0"/>
    <w:rsid w:val="006C3C59"/>
    <w:rsid w:val="007348D3"/>
    <w:rsid w:val="007E7DB6"/>
    <w:rsid w:val="00801E05"/>
    <w:rsid w:val="0081567F"/>
    <w:rsid w:val="009D5227"/>
    <w:rsid w:val="009F0468"/>
    <w:rsid w:val="00A009FF"/>
    <w:rsid w:val="00A57619"/>
    <w:rsid w:val="00AA2091"/>
    <w:rsid w:val="00AB47A3"/>
    <w:rsid w:val="00AD0903"/>
    <w:rsid w:val="00AE4A83"/>
    <w:rsid w:val="00B47B78"/>
    <w:rsid w:val="00B53C3C"/>
    <w:rsid w:val="00BB5ED4"/>
    <w:rsid w:val="00C32303"/>
    <w:rsid w:val="00CA124E"/>
    <w:rsid w:val="00CA1DE6"/>
    <w:rsid w:val="00CD493C"/>
    <w:rsid w:val="00D269F8"/>
    <w:rsid w:val="00D26B99"/>
    <w:rsid w:val="00DA170E"/>
    <w:rsid w:val="00E477CC"/>
    <w:rsid w:val="00E91614"/>
    <w:rsid w:val="00EA0217"/>
    <w:rsid w:val="00ED476D"/>
    <w:rsid w:val="00ED7B5A"/>
    <w:rsid w:val="00F74C32"/>
    <w:rsid w:val="00FB30D2"/>
    <w:rsid w:val="00FF112F"/>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CC9B544"/>
  <w15:docId w15:val="{90DD23AE-848B-4A15-844D-2F466825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cs="Arial Unicode MS"/>
      <w:color w:val="000000"/>
      <w:sz w:val="24"/>
      <w:szCs w:val="24"/>
      <w:u w:color="000000"/>
    </w:rPr>
  </w:style>
  <w:style w:type="paragraph" w:styleId="Titolo2">
    <w:name w:val="heading 2"/>
    <w:basedOn w:val="Normale"/>
    <w:next w:val="Normale"/>
    <w:link w:val="Titolo2Carattere"/>
    <w:uiPriority w:val="9"/>
    <w:semiHidden/>
    <w:unhideWhenUsed/>
    <w:qFormat/>
    <w:rsid w:val="00227060"/>
    <w:pPr>
      <w:keepNext/>
      <w:keepLines/>
      <w:spacing w:before="40"/>
      <w:outlineLvl w:val="1"/>
    </w:pPr>
    <w:rPr>
      <w:rFonts w:asciiTheme="majorHAnsi" w:eastAsiaTheme="majorEastAsia" w:hAnsiTheme="majorHAnsi" w:cstheme="majorBidi"/>
      <w:color w:val="2F759E" w:themeColor="accent1" w:themeShade="BF"/>
      <w:sz w:val="26"/>
      <w:szCs w:val="26"/>
      <w:lang w:eastAsia="ja-JP"/>
    </w:rPr>
  </w:style>
  <w:style w:type="paragraph" w:styleId="Titolo3">
    <w:name w:val="heading 3"/>
    <w:next w:val="Normale"/>
    <w:qFormat/>
    <w:pPr>
      <w:keepNext/>
      <w:tabs>
        <w:tab w:val="left" w:pos="3240"/>
      </w:tabs>
      <w:spacing w:line="360" w:lineRule="auto"/>
      <w:jc w:val="both"/>
      <w:outlineLvl w:val="2"/>
    </w:pPr>
    <w:rPr>
      <w:rFonts w:cs="Arial Unicode MS"/>
      <w:b/>
      <w:bCs/>
      <w:color w:val="000000"/>
      <w:sz w:val="24"/>
      <w:szCs w:val="24"/>
      <w:u w:val="single" w:color="000000"/>
    </w:rPr>
  </w:style>
  <w:style w:type="paragraph" w:styleId="Titolo4">
    <w:name w:val="heading 4"/>
    <w:basedOn w:val="Normale"/>
    <w:next w:val="Normale"/>
    <w:link w:val="Titolo4Carattere"/>
    <w:uiPriority w:val="9"/>
    <w:semiHidden/>
    <w:unhideWhenUsed/>
    <w:qFormat/>
    <w:rsid w:val="00ED7B5A"/>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Pr>
      <w:u w:val="single"/>
    </w:rPr>
  </w:style>
  <w:style w:type="character" w:customStyle="1" w:styleId="Caratteridinumerazione">
    <w:name w:val="Caratteri di numerazione"/>
    <w:qFormat/>
  </w:style>
  <w:style w:type="character" w:customStyle="1" w:styleId="TestofumettoCarattere">
    <w:name w:val="Testo fumetto Carattere"/>
    <w:basedOn w:val="Carpredefinitoparagrafo"/>
    <w:link w:val="Testofumetto"/>
    <w:uiPriority w:val="99"/>
    <w:semiHidden/>
    <w:qFormat/>
    <w:rsid w:val="00C355C3"/>
    <w:rPr>
      <w:rFonts w:ascii="Tahoma" w:hAnsi="Tahoma" w:cs="Tahoma"/>
      <w:color w:val="000000"/>
      <w:sz w:val="16"/>
      <w:szCs w:val="16"/>
      <w:u w:val="none" w:color="000000"/>
    </w:rPr>
  </w:style>
  <w:style w:type="character" w:customStyle="1" w:styleId="TestonotaapidipaginaCarattere">
    <w:name w:val="Testo nota a piè di pagina Carattere"/>
    <w:basedOn w:val="Carpredefinitoparagrafo"/>
    <w:link w:val="Testonotaapidipagina"/>
    <w:uiPriority w:val="99"/>
    <w:semiHidden/>
    <w:qFormat/>
    <w:rsid w:val="009336AA"/>
    <w:rPr>
      <w:rFonts w:asciiTheme="minorHAnsi" w:eastAsiaTheme="minorHAnsi" w:hAnsiTheme="minorHAnsi" w:cstheme="minorBidi"/>
      <w:lang w:eastAsia="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336AA"/>
    <w:rPr>
      <w:vertAlign w:val="superscript"/>
    </w:rPr>
  </w:style>
  <w:style w:type="character" w:styleId="Rimandocommento">
    <w:name w:val="annotation reference"/>
    <w:basedOn w:val="Carpredefinitoparagrafo"/>
    <w:uiPriority w:val="99"/>
    <w:semiHidden/>
    <w:unhideWhenUsed/>
    <w:qFormat/>
    <w:rsid w:val="00AB5B8B"/>
    <w:rPr>
      <w:sz w:val="16"/>
      <w:szCs w:val="16"/>
    </w:rPr>
  </w:style>
  <w:style w:type="character" w:customStyle="1" w:styleId="TestocommentoCarattere">
    <w:name w:val="Testo commento Carattere"/>
    <w:basedOn w:val="Carpredefinitoparagrafo"/>
    <w:link w:val="Testocommento"/>
    <w:uiPriority w:val="99"/>
    <w:semiHidden/>
    <w:qFormat/>
    <w:rsid w:val="00AB5B8B"/>
    <w:rPr>
      <w:rFonts w:cs="Arial Unicode MS"/>
      <w:color w:val="000000"/>
      <w:u w:val="none" w:color="000000"/>
    </w:rPr>
  </w:style>
  <w:style w:type="character" w:customStyle="1" w:styleId="SoggettocommentoCarattere">
    <w:name w:val="Soggetto commento Carattere"/>
    <w:basedOn w:val="TestocommentoCarattere"/>
    <w:link w:val="Soggettocommento"/>
    <w:uiPriority w:val="99"/>
    <w:semiHidden/>
    <w:qFormat/>
    <w:rsid w:val="00AB5B8B"/>
    <w:rPr>
      <w:rFonts w:cs="Arial Unicode MS"/>
      <w:b/>
      <w:bCs/>
      <w:color w:val="000000"/>
      <w:u w:val="none" w:color="000000"/>
    </w:rPr>
  </w:style>
  <w:style w:type="character" w:customStyle="1" w:styleId="Titolo2Carattere">
    <w:name w:val="Titolo 2 Carattere"/>
    <w:basedOn w:val="Carpredefinitoparagrafo"/>
    <w:link w:val="Titolo2"/>
    <w:uiPriority w:val="9"/>
    <w:semiHidden/>
    <w:qFormat/>
    <w:rsid w:val="00227060"/>
    <w:rPr>
      <w:rFonts w:asciiTheme="majorHAnsi" w:eastAsiaTheme="majorEastAsia" w:hAnsiTheme="majorHAnsi" w:cstheme="majorBidi"/>
      <w:color w:val="2F759E" w:themeColor="accent1" w:themeShade="BF"/>
      <w:sz w:val="26"/>
      <w:szCs w:val="26"/>
      <w:lang w:eastAsia="ja-JP"/>
    </w:rPr>
  </w:style>
  <w:style w:type="character" w:customStyle="1" w:styleId="PidipaginaCarattere">
    <w:name w:val="Piè di pagina Carattere"/>
    <w:basedOn w:val="Carpredefinitoparagrafo"/>
    <w:link w:val="Pidipagina"/>
    <w:uiPriority w:val="99"/>
    <w:qFormat/>
    <w:rsid w:val="00F94731"/>
    <w:rPr>
      <w:rFonts w:eastAsia="Times New Roman"/>
      <w:color w:val="000000"/>
      <w:sz w:val="24"/>
      <w:szCs w:val="24"/>
      <w:u w:val="none" w:color="000000"/>
    </w:rPr>
  </w:style>
  <w:style w:type="character" w:customStyle="1" w:styleId="ListLabel1">
    <w:name w:val="ListLabel 1"/>
    <w:qFormat/>
    <w:rPr>
      <w:rFonts w:ascii="Times New Roman" w:hAnsi="Times New Roman"/>
      <w:sz w:val="24"/>
      <w:szCs w:val="22"/>
    </w:rPr>
  </w:style>
  <w:style w:type="character" w:customStyle="1" w:styleId="ListLabel2">
    <w:name w:val="ListLabel 2"/>
    <w:qFormat/>
    <w:rPr>
      <w:sz w:val="24"/>
      <w:szCs w:val="24"/>
    </w:rPr>
  </w:style>
  <w:style w:type="character" w:customStyle="1" w:styleId="ListLabel3">
    <w:name w:val="ListLabel 3"/>
    <w:qFormat/>
    <w:rPr>
      <w:sz w:val="24"/>
      <w:szCs w:val="24"/>
    </w:rPr>
  </w:style>
  <w:style w:type="character" w:customStyle="1" w:styleId="ListLabel4">
    <w:name w:val="ListLabel 4"/>
    <w:qFormat/>
    <w:rPr>
      <w:sz w:val="24"/>
      <w:szCs w:val="24"/>
    </w:rPr>
  </w:style>
  <w:style w:type="character" w:customStyle="1" w:styleId="ListLabel5">
    <w:name w:val="ListLabel 5"/>
    <w:qFormat/>
    <w:rPr>
      <w:sz w:val="24"/>
      <w:szCs w:val="24"/>
    </w:rPr>
  </w:style>
  <w:style w:type="character" w:customStyle="1" w:styleId="ListLabel6">
    <w:name w:val="ListLabel 6"/>
    <w:qFormat/>
    <w:rPr>
      <w:sz w:val="24"/>
      <w:szCs w:val="24"/>
    </w:rPr>
  </w:style>
  <w:style w:type="character" w:customStyle="1" w:styleId="ListLabel7">
    <w:name w:val="ListLabel 7"/>
    <w:qFormat/>
    <w:rPr>
      <w:sz w:val="24"/>
      <w:szCs w:val="24"/>
    </w:rPr>
  </w:style>
  <w:style w:type="character" w:customStyle="1" w:styleId="ListLabel8">
    <w:name w:val="ListLabel 8"/>
    <w:qFormat/>
    <w:rPr>
      <w:sz w:val="24"/>
      <w:szCs w:val="24"/>
    </w:rPr>
  </w:style>
  <w:style w:type="character" w:customStyle="1" w:styleId="ListLabel9">
    <w:name w:val="ListLabel 9"/>
    <w:qFormat/>
    <w:rPr>
      <w:sz w:val="24"/>
      <w:szCs w:val="24"/>
    </w:rPr>
  </w:style>
  <w:style w:type="character" w:customStyle="1" w:styleId="ListLabel10">
    <w:name w:val="ListLabel 10"/>
    <w:qFormat/>
    <w:rPr>
      <w:rFonts w:ascii="Times New Roman" w:hAnsi="Times New Roman"/>
      <w:sz w:val="24"/>
      <w:szCs w:val="22"/>
    </w:rPr>
  </w:style>
  <w:style w:type="character" w:customStyle="1" w:styleId="ListLabel11">
    <w:name w:val="ListLabel 11"/>
    <w:qFormat/>
    <w:rPr>
      <w:sz w:val="24"/>
      <w:szCs w:val="24"/>
    </w:rPr>
  </w:style>
  <w:style w:type="character" w:customStyle="1" w:styleId="ListLabel12">
    <w:name w:val="ListLabel 12"/>
    <w:qFormat/>
    <w:rPr>
      <w:sz w:val="24"/>
      <w:szCs w:val="24"/>
    </w:rPr>
  </w:style>
  <w:style w:type="character" w:customStyle="1" w:styleId="ListLabel13">
    <w:name w:val="ListLabel 13"/>
    <w:qFormat/>
    <w:rPr>
      <w:sz w:val="24"/>
      <w:szCs w:val="24"/>
    </w:rPr>
  </w:style>
  <w:style w:type="character" w:customStyle="1" w:styleId="ListLabel14">
    <w:name w:val="ListLabel 14"/>
    <w:qFormat/>
    <w:rPr>
      <w:sz w:val="24"/>
      <w:szCs w:val="24"/>
    </w:rPr>
  </w:style>
  <w:style w:type="character" w:customStyle="1" w:styleId="ListLabel15">
    <w:name w:val="ListLabel 15"/>
    <w:qFormat/>
    <w:rPr>
      <w:sz w:val="24"/>
      <w:szCs w:val="24"/>
    </w:rPr>
  </w:style>
  <w:style w:type="character" w:customStyle="1" w:styleId="ListLabel16">
    <w:name w:val="ListLabel 16"/>
    <w:qFormat/>
    <w:rPr>
      <w:sz w:val="24"/>
      <w:szCs w:val="24"/>
    </w:rPr>
  </w:style>
  <w:style w:type="character" w:customStyle="1" w:styleId="ListLabel17">
    <w:name w:val="ListLabel 17"/>
    <w:qFormat/>
    <w:rPr>
      <w:sz w:val="24"/>
      <w:szCs w:val="24"/>
    </w:rPr>
  </w:style>
  <w:style w:type="character" w:customStyle="1" w:styleId="ListLabel18">
    <w:name w:val="ListLabel 18"/>
    <w:qFormat/>
    <w:rPr>
      <w:sz w:val="24"/>
      <w:szCs w:val="24"/>
    </w:rPr>
  </w:style>
  <w:style w:type="character" w:customStyle="1" w:styleId="ListLabel19">
    <w:name w:val="ListLabel 19"/>
    <w:qFormat/>
    <w:rPr>
      <w:rFonts w:ascii="Times New Roman" w:hAnsi="Times New Roman"/>
      <w:sz w:val="24"/>
      <w:szCs w:val="22"/>
    </w:rPr>
  </w:style>
  <w:style w:type="character" w:customStyle="1" w:styleId="ListLabel20">
    <w:name w:val="ListLabel 20"/>
    <w:qFormat/>
    <w:rPr>
      <w:sz w:val="24"/>
      <w:szCs w:val="24"/>
    </w:rPr>
  </w:style>
  <w:style w:type="character" w:customStyle="1" w:styleId="ListLabel21">
    <w:name w:val="ListLabel 21"/>
    <w:qFormat/>
    <w:rPr>
      <w:sz w:val="24"/>
      <w:szCs w:val="24"/>
    </w:rPr>
  </w:style>
  <w:style w:type="character" w:customStyle="1" w:styleId="ListLabel22">
    <w:name w:val="ListLabel 22"/>
    <w:qFormat/>
    <w:rPr>
      <w:sz w:val="24"/>
      <w:szCs w:val="24"/>
    </w:rPr>
  </w:style>
  <w:style w:type="character" w:customStyle="1" w:styleId="ListLabel23">
    <w:name w:val="ListLabel 23"/>
    <w:qFormat/>
    <w:rPr>
      <w:sz w:val="24"/>
      <w:szCs w:val="24"/>
    </w:rPr>
  </w:style>
  <w:style w:type="character" w:customStyle="1" w:styleId="ListLabel24">
    <w:name w:val="ListLabel 24"/>
    <w:qFormat/>
    <w:rPr>
      <w:sz w:val="24"/>
      <w:szCs w:val="24"/>
    </w:rPr>
  </w:style>
  <w:style w:type="character" w:customStyle="1" w:styleId="ListLabel25">
    <w:name w:val="ListLabel 25"/>
    <w:qFormat/>
    <w:rPr>
      <w:sz w:val="24"/>
      <w:szCs w:val="24"/>
    </w:rPr>
  </w:style>
  <w:style w:type="character" w:customStyle="1" w:styleId="ListLabel26">
    <w:name w:val="ListLabel 26"/>
    <w:qFormat/>
    <w:rPr>
      <w:sz w:val="24"/>
      <w:szCs w:val="24"/>
    </w:rPr>
  </w:style>
  <w:style w:type="character" w:customStyle="1" w:styleId="ListLabel27">
    <w:name w:val="ListLabel 27"/>
    <w:qFormat/>
    <w:rPr>
      <w:sz w:val="24"/>
      <w:szCs w:val="24"/>
    </w:rPr>
  </w:style>
  <w:style w:type="character" w:customStyle="1" w:styleId="ListLabel28">
    <w:name w:val="ListLabel 28"/>
    <w:qFormat/>
    <w:rPr>
      <w:rFonts w:ascii="Times New Roman" w:hAnsi="Times New Roman"/>
      <w:sz w:val="24"/>
      <w:szCs w:val="22"/>
    </w:rPr>
  </w:style>
  <w:style w:type="character" w:customStyle="1" w:styleId="ListLabel29">
    <w:name w:val="ListLabel 29"/>
    <w:qFormat/>
    <w:rPr>
      <w:sz w:val="24"/>
      <w:szCs w:val="24"/>
    </w:rPr>
  </w:style>
  <w:style w:type="character" w:customStyle="1" w:styleId="ListLabel30">
    <w:name w:val="ListLabel 30"/>
    <w:qFormat/>
    <w:rPr>
      <w:sz w:val="24"/>
      <w:szCs w:val="24"/>
    </w:rPr>
  </w:style>
  <w:style w:type="character" w:customStyle="1" w:styleId="ListLabel31">
    <w:name w:val="ListLabel 31"/>
    <w:qFormat/>
    <w:rPr>
      <w:sz w:val="24"/>
      <w:szCs w:val="24"/>
    </w:rPr>
  </w:style>
  <w:style w:type="character" w:customStyle="1" w:styleId="ListLabel32">
    <w:name w:val="ListLabel 32"/>
    <w:qFormat/>
    <w:rPr>
      <w:sz w:val="24"/>
      <w:szCs w:val="24"/>
    </w:rPr>
  </w:style>
  <w:style w:type="character" w:customStyle="1" w:styleId="ListLabel33">
    <w:name w:val="ListLabel 33"/>
    <w:qFormat/>
    <w:rPr>
      <w:sz w:val="24"/>
      <w:szCs w:val="24"/>
    </w:rPr>
  </w:style>
  <w:style w:type="character" w:customStyle="1" w:styleId="ListLabel34">
    <w:name w:val="ListLabel 34"/>
    <w:qFormat/>
    <w:rPr>
      <w:sz w:val="24"/>
      <w:szCs w:val="24"/>
    </w:rPr>
  </w:style>
  <w:style w:type="character" w:customStyle="1" w:styleId="ListLabel35">
    <w:name w:val="ListLabel 35"/>
    <w:qFormat/>
    <w:rPr>
      <w:sz w:val="24"/>
      <w:szCs w:val="24"/>
    </w:rPr>
  </w:style>
  <w:style w:type="character" w:customStyle="1" w:styleId="ListLabel36">
    <w:name w:val="ListLabel 36"/>
    <w:qFormat/>
    <w:rPr>
      <w:sz w:val="24"/>
      <w:szCs w:val="24"/>
    </w:rPr>
  </w:style>
  <w:style w:type="character" w:customStyle="1" w:styleId="ListLabel37">
    <w:name w:val="ListLabel 37"/>
    <w:qFormat/>
    <w:rPr>
      <w:sz w:val="22"/>
      <w:szCs w:val="22"/>
    </w:rPr>
  </w:style>
  <w:style w:type="character" w:customStyle="1" w:styleId="ListLabel38">
    <w:name w:val="ListLabel 38"/>
    <w:qFormat/>
    <w:rPr>
      <w:sz w:val="24"/>
      <w:szCs w:val="24"/>
    </w:rPr>
  </w:style>
  <w:style w:type="character" w:customStyle="1" w:styleId="ListLabel39">
    <w:name w:val="ListLabel 39"/>
    <w:qFormat/>
    <w:rPr>
      <w:sz w:val="24"/>
      <w:szCs w:val="24"/>
    </w:rPr>
  </w:style>
  <w:style w:type="character" w:customStyle="1" w:styleId="ListLabel40">
    <w:name w:val="ListLabel 40"/>
    <w:qFormat/>
    <w:rPr>
      <w:sz w:val="24"/>
      <w:szCs w:val="24"/>
    </w:rPr>
  </w:style>
  <w:style w:type="character" w:customStyle="1" w:styleId="ListLabel41">
    <w:name w:val="ListLabel 41"/>
    <w:qFormat/>
    <w:rPr>
      <w:sz w:val="24"/>
      <w:szCs w:val="24"/>
    </w:rPr>
  </w:style>
  <w:style w:type="character" w:customStyle="1" w:styleId="ListLabel42">
    <w:name w:val="ListLabel 42"/>
    <w:qFormat/>
    <w:rPr>
      <w:sz w:val="24"/>
      <w:szCs w:val="24"/>
    </w:rPr>
  </w:style>
  <w:style w:type="character" w:customStyle="1" w:styleId="ListLabel43">
    <w:name w:val="ListLabel 43"/>
    <w:qFormat/>
    <w:rPr>
      <w:sz w:val="24"/>
      <w:szCs w:val="24"/>
    </w:rPr>
  </w:style>
  <w:style w:type="character" w:customStyle="1" w:styleId="ListLabel44">
    <w:name w:val="ListLabel 44"/>
    <w:qFormat/>
    <w:rPr>
      <w:sz w:val="24"/>
      <w:szCs w:val="24"/>
    </w:rPr>
  </w:style>
  <w:style w:type="character" w:customStyle="1" w:styleId="ListLabel45">
    <w:name w:val="ListLabel 45"/>
    <w:qFormat/>
    <w:rPr>
      <w:sz w:val="24"/>
      <w:szCs w:val="24"/>
    </w:rPr>
  </w:style>
  <w:style w:type="character" w:customStyle="1" w:styleId="ListLabel46">
    <w:name w:val="ListLabel 46"/>
    <w:qFormat/>
    <w:rPr>
      <w:sz w:val="22"/>
      <w:szCs w:val="22"/>
    </w:rPr>
  </w:style>
  <w:style w:type="character" w:customStyle="1" w:styleId="ListLabel47">
    <w:name w:val="ListLabel 47"/>
    <w:qFormat/>
    <w:rPr>
      <w:sz w:val="24"/>
      <w:szCs w:val="24"/>
    </w:rPr>
  </w:style>
  <w:style w:type="character" w:customStyle="1" w:styleId="ListLabel48">
    <w:name w:val="ListLabel 48"/>
    <w:qFormat/>
    <w:rPr>
      <w:sz w:val="24"/>
      <w:szCs w:val="24"/>
    </w:rPr>
  </w:style>
  <w:style w:type="character" w:customStyle="1" w:styleId="ListLabel49">
    <w:name w:val="ListLabel 49"/>
    <w:qFormat/>
    <w:rPr>
      <w:sz w:val="24"/>
      <w:szCs w:val="24"/>
    </w:rPr>
  </w:style>
  <w:style w:type="character" w:customStyle="1" w:styleId="ListLabel50">
    <w:name w:val="ListLabel 50"/>
    <w:qFormat/>
    <w:rPr>
      <w:sz w:val="24"/>
      <w:szCs w:val="24"/>
    </w:rPr>
  </w:style>
  <w:style w:type="character" w:customStyle="1" w:styleId="ListLabel51">
    <w:name w:val="ListLabel 51"/>
    <w:qFormat/>
    <w:rPr>
      <w:sz w:val="24"/>
      <w:szCs w:val="24"/>
    </w:rPr>
  </w:style>
  <w:style w:type="character" w:customStyle="1" w:styleId="ListLabel52">
    <w:name w:val="ListLabel 52"/>
    <w:qFormat/>
    <w:rPr>
      <w:sz w:val="24"/>
      <w:szCs w:val="24"/>
    </w:rPr>
  </w:style>
  <w:style w:type="character" w:customStyle="1" w:styleId="ListLabel53">
    <w:name w:val="ListLabel 53"/>
    <w:qFormat/>
    <w:rPr>
      <w:sz w:val="24"/>
      <w:szCs w:val="24"/>
    </w:rPr>
  </w:style>
  <w:style w:type="character" w:customStyle="1" w:styleId="ListLabel54">
    <w:name w:val="ListLabel 54"/>
    <w:qFormat/>
    <w:rPr>
      <w:sz w:val="24"/>
      <w:szCs w:val="24"/>
    </w:rPr>
  </w:style>
  <w:style w:type="character" w:customStyle="1" w:styleId="ListLabel55">
    <w:name w:val="ListLabel 55"/>
    <w:qFormat/>
    <w:rPr>
      <w:sz w:val="22"/>
      <w:szCs w:val="22"/>
    </w:rPr>
  </w:style>
  <w:style w:type="character" w:customStyle="1" w:styleId="ListLabel56">
    <w:name w:val="ListLabel 56"/>
    <w:qFormat/>
    <w:rPr>
      <w:sz w:val="24"/>
      <w:szCs w:val="24"/>
    </w:rPr>
  </w:style>
  <w:style w:type="character" w:customStyle="1" w:styleId="ListLabel57">
    <w:name w:val="ListLabel 57"/>
    <w:qFormat/>
    <w:rPr>
      <w:sz w:val="24"/>
      <w:szCs w:val="24"/>
    </w:rPr>
  </w:style>
  <w:style w:type="character" w:customStyle="1" w:styleId="ListLabel58">
    <w:name w:val="ListLabel 58"/>
    <w:qFormat/>
    <w:rPr>
      <w:sz w:val="24"/>
      <w:szCs w:val="24"/>
    </w:rPr>
  </w:style>
  <w:style w:type="character" w:customStyle="1" w:styleId="ListLabel59">
    <w:name w:val="ListLabel 59"/>
    <w:qFormat/>
    <w:rPr>
      <w:sz w:val="24"/>
      <w:szCs w:val="24"/>
    </w:rPr>
  </w:style>
  <w:style w:type="character" w:customStyle="1" w:styleId="ListLabel60">
    <w:name w:val="ListLabel 60"/>
    <w:qFormat/>
    <w:rPr>
      <w:sz w:val="24"/>
      <w:szCs w:val="24"/>
    </w:rPr>
  </w:style>
  <w:style w:type="character" w:customStyle="1" w:styleId="ListLabel61">
    <w:name w:val="ListLabel 61"/>
    <w:qFormat/>
    <w:rPr>
      <w:sz w:val="24"/>
      <w:szCs w:val="24"/>
    </w:rPr>
  </w:style>
  <w:style w:type="character" w:customStyle="1" w:styleId="ListLabel62">
    <w:name w:val="ListLabel 62"/>
    <w:qFormat/>
    <w:rPr>
      <w:sz w:val="24"/>
      <w:szCs w:val="24"/>
    </w:rPr>
  </w:style>
  <w:style w:type="character" w:customStyle="1" w:styleId="ListLabel63">
    <w:name w:val="ListLabel 63"/>
    <w:qFormat/>
    <w:rPr>
      <w:sz w:val="24"/>
      <w:szCs w:val="24"/>
    </w:rPr>
  </w:style>
  <w:style w:type="character" w:customStyle="1" w:styleId="ListLabel64">
    <w:name w:val="ListLabel 64"/>
    <w:qFormat/>
    <w:rPr>
      <w:sz w:val="22"/>
      <w:szCs w:val="22"/>
    </w:rPr>
  </w:style>
  <w:style w:type="character" w:customStyle="1" w:styleId="ListLabel65">
    <w:name w:val="ListLabel 65"/>
    <w:qFormat/>
    <w:rPr>
      <w:sz w:val="24"/>
      <w:szCs w:val="24"/>
    </w:rPr>
  </w:style>
  <w:style w:type="character" w:customStyle="1" w:styleId="ListLabel66">
    <w:name w:val="ListLabel 66"/>
    <w:qFormat/>
    <w:rPr>
      <w:sz w:val="24"/>
      <w:szCs w:val="24"/>
    </w:rPr>
  </w:style>
  <w:style w:type="character" w:customStyle="1" w:styleId="ListLabel67">
    <w:name w:val="ListLabel 67"/>
    <w:qFormat/>
    <w:rPr>
      <w:sz w:val="24"/>
      <w:szCs w:val="24"/>
    </w:rPr>
  </w:style>
  <w:style w:type="character" w:customStyle="1" w:styleId="ListLabel68">
    <w:name w:val="ListLabel 68"/>
    <w:qFormat/>
    <w:rPr>
      <w:sz w:val="24"/>
      <w:szCs w:val="24"/>
    </w:rPr>
  </w:style>
  <w:style w:type="character" w:customStyle="1" w:styleId="ListLabel69">
    <w:name w:val="ListLabel 69"/>
    <w:qFormat/>
    <w:rPr>
      <w:sz w:val="24"/>
      <w:szCs w:val="24"/>
    </w:rPr>
  </w:style>
  <w:style w:type="character" w:customStyle="1" w:styleId="ListLabel70">
    <w:name w:val="ListLabel 70"/>
    <w:qFormat/>
    <w:rPr>
      <w:sz w:val="24"/>
      <w:szCs w:val="24"/>
    </w:rPr>
  </w:style>
  <w:style w:type="character" w:customStyle="1" w:styleId="ListLabel71">
    <w:name w:val="ListLabel 71"/>
    <w:qFormat/>
    <w:rPr>
      <w:sz w:val="24"/>
      <w:szCs w:val="24"/>
    </w:rPr>
  </w:style>
  <w:style w:type="character" w:customStyle="1" w:styleId="ListLabel72">
    <w:name w:val="ListLabel 72"/>
    <w:qFormat/>
    <w:rPr>
      <w:sz w:val="24"/>
      <w:szCs w:val="24"/>
    </w:rPr>
  </w:style>
  <w:style w:type="character" w:customStyle="1" w:styleId="ListLabel73">
    <w:name w:val="ListLabel 73"/>
    <w:qFormat/>
    <w:rPr>
      <w:sz w:val="22"/>
      <w:szCs w:val="22"/>
    </w:rPr>
  </w:style>
  <w:style w:type="character" w:customStyle="1" w:styleId="ListLabel74">
    <w:name w:val="ListLabel 74"/>
    <w:qFormat/>
    <w:rPr>
      <w:sz w:val="24"/>
      <w:szCs w:val="24"/>
    </w:rPr>
  </w:style>
  <w:style w:type="character" w:customStyle="1" w:styleId="ListLabel75">
    <w:name w:val="ListLabel 75"/>
    <w:qFormat/>
    <w:rPr>
      <w:sz w:val="24"/>
      <w:szCs w:val="24"/>
    </w:rPr>
  </w:style>
  <w:style w:type="character" w:customStyle="1" w:styleId="ListLabel76">
    <w:name w:val="ListLabel 76"/>
    <w:qFormat/>
    <w:rPr>
      <w:sz w:val="24"/>
      <w:szCs w:val="24"/>
    </w:rPr>
  </w:style>
  <w:style w:type="character" w:customStyle="1" w:styleId="ListLabel77">
    <w:name w:val="ListLabel 77"/>
    <w:qFormat/>
    <w:rPr>
      <w:sz w:val="24"/>
      <w:szCs w:val="24"/>
    </w:rPr>
  </w:style>
  <w:style w:type="character" w:customStyle="1" w:styleId="ListLabel78">
    <w:name w:val="ListLabel 78"/>
    <w:qFormat/>
    <w:rPr>
      <w:sz w:val="24"/>
      <w:szCs w:val="24"/>
    </w:rPr>
  </w:style>
  <w:style w:type="character" w:customStyle="1" w:styleId="ListLabel79">
    <w:name w:val="ListLabel 79"/>
    <w:qFormat/>
    <w:rPr>
      <w:sz w:val="24"/>
      <w:szCs w:val="24"/>
    </w:rPr>
  </w:style>
  <w:style w:type="character" w:customStyle="1" w:styleId="ListLabel80">
    <w:name w:val="ListLabel 80"/>
    <w:qFormat/>
    <w:rPr>
      <w:sz w:val="24"/>
      <w:szCs w:val="24"/>
    </w:rPr>
  </w:style>
  <w:style w:type="character" w:customStyle="1" w:styleId="ListLabel81">
    <w:name w:val="ListLabel 81"/>
    <w:qFormat/>
    <w:rPr>
      <w:sz w:val="24"/>
      <w:szCs w:val="24"/>
    </w:rPr>
  </w:style>
  <w:style w:type="character" w:customStyle="1" w:styleId="ListLabel82">
    <w:name w:val="ListLabel 82"/>
    <w:qFormat/>
    <w:rPr>
      <w:sz w:val="22"/>
      <w:szCs w:val="22"/>
    </w:rPr>
  </w:style>
  <w:style w:type="character" w:customStyle="1" w:styleId="ListLabel83">
    <w:name w:val="ListLabel 83"/>
    <w:qFormat/>
    <w:rPr>
      <w:sz w:val="24"/>
      <w:szCs w:val="24"/>
    </w:rPr>
  </w:style>
  <w:style w:type="character" w:customStyle="1" w:styleId="ListLabel84">
    <w:name w:val="ListLabel 84"/>
    <w:qFormat/>
    <w:rPr>
      <w:sz w:val="24"/>
      <w:szCs w:val="24"/>
    </w:rPr>
  </w:style>
  <w:style w:type="character" w:customStyle="1" w:styleId="ListLabel85">
    <w:name w:val="ListLabel 85"/>
    <w:qFormat/>
    <w:rPr>
      <w:sz w:val="24"/>
      <w:szCs w:val="24"/>
    </w:rPr>
  </w:style>
  <w:style w:type="character" w:customStyle="1" w:styleId="ListLabel86">
    <w:name w:val="ListLabel 86"/>
    <w:qFormat/>
    <w:rPr>
      <w:sz w:val="24"/>
      <w:szCs w:val="24"/>
    </w:rPr>
  </w:style>
  <w:style w:type="character" w:customStyle="1" w:styleId="ListLabel87">
    <w:name w:val="ListLabel 87"/>
    <w:qFormat/>
    <w:rPr>
      <w:sz w:val="24"/>
      <w:szCs w:val="24"/>
    </w:rPr>
  </w:style>
  <w:style w:type="character" w:customStyle="1" w:styleId="ListLabel88">
    <w:name w:val="ListLabel 88"/>
    <w:qFormat/>
    <w:rPr>
      <w:sz w:val="24"/>
      <w:szCs w:val="24"/>
    </w:rPr>
  </w:style>
  <w:style w:type="character" w:customStyle="1" w:styleId="ListLabel89">
    <w:name w:val="ListLabel 89"/>
    <w:qFormat/>
    <w:rPr>
      <w:sz w:val="24"/>
      <w:szCs w:val="24"/>
    </w:rPr>
  </w:style>
  <w:style w:type="character" w:customStyle="1" w:styleId="ListLabel90">
    <w:name w:val="ListLabel 90"/>
    <w:qFormat/>
    <w:rPr>
      <w:sz w:val="24"/>
      <w:szCs w:val="24"/>
    </w:rPr>
  </w:style>
  <w:style w:type="character" w:customStyle="1" w:styleId="ListLabel91">
    <w:name w:val="ListLabel 91"/>
    <w:qFormat/>
    <w:rPr>
      <w:sz w:val="24"/>
      <w:szCs w:val="24"/>
    </w:rPr>
  </w:style>
  <w:style w:type="character" w:customStyle="1" w:styleId="ListLabel92">
    <w:name w:val="ListLabel 92"/>
    <w:qFormat/>
    <w:rPr>
      <w:sz w:val="24"/>
      <w:szCs w:val="24"/>
    </w:rPr>
  </w:style>
  <w:style w:type="character" w:customStyle="1" w:styleId="ListLabel93">
    <w:name w:val="ListLabel 93"/>
    <w:qFormat/>
    <w:rPr>
      <w:sz w:val="24"/>
      <w:szCs w:val="24"/>
    </w:rPr>
  </w:style>
  <w:style w:type="character" w:customStyle="1" w:styleId="ListLabel94">
    <w:name w:val="ListLabel 94"/>
    <w:qFormat/>
    <w:rPr>
      <w:sz w:val="24"/>
      <w:szCs w:val="24"/>
    </w:rPr>
  </w:style>
  <w:style w:type="character" w:customStyle="1" w:styleId="ListLabel95">
    <w:name w:val="ListLabel 95"/>
    <w:qFormat/>
    <w:rPr>
      <w:sz w:val="24"/>
      <w:szCs w:val="24"/>
    </w:rPr>
  </w:style>
  <w:style w:type="character" w:customStyle="1" w:styleId="ListLabel96">
    <w:name w:val="ListLabel 96"/>
    <w:qFormat/>
    <w:rPr>
      <w:sz w:val="24"/>
      <w:szCs w:val="24"/>
    </w:rPr>
  </w:style>
  <w:style w:type="character" w:customStyle="1" w:styleId="ListLabel97">
    <w:name w:val="ListLabel 97"/>
    <w:qFormat/>
    <w:rPr>
      <w:sz w:val="24"/>
      <w:szCs w:val="24"/>
    </w:rPr>
  </w:style>
  <w:style w:type="character" w:customStyle="1" w:styleId="ListLabel98">
    <w:name w:val="ListLabel 98"/>
    <w:qFormat/>
    <w:rPr>
      <w:sz w:val="24"/>
      <w:szCs w:val="24"/>
    </w:rPr>
  </w:style>
  <w:style w:type="character" w:customStyle="1" w:styleId="ListLabel99">
    <w:name w:val="ListLabel 99"/>
    <w:qFormat/>
    <w:rPr>
      <w:sz w:val="24"/>
      <w:szCs w:val="24"/>
    </w:rPr>
  </w:style>
  <w:style w:type="character" w:customStyle="1" w:styleId="ListLabel100">
    <w:name w:val="ListLabel 100"/>
    <w:qFormat/>
    <w:rPr>
      <w:rFonts w:ascii="Times New Roman" w:hAnsi="Times New Roman"/>
      <w:b/>
      <w:sz w:val="24"/>
      <w:szCs w:val="22"/>
    </w:rPr>
  </w:style>
  <w:style w:type="character" w:customStyle="1" w:styleId="ListLabel101">
    <w:name w:val="ListLabel 101"/>
    <w:qFormat/>
    <w:rPr>
      <w:sz w:val="24"/>
      <w:szCs w:val="24"/>
    </w:rPr>
  </w:style>
  <w:style w:type="character" w:customStyle="1" w:styleId="ListLabel102">
    <w:name w:val="ListLabel 102"/>
    <w:qFormat/>
    <w:rPr>
      <w:sz w:val="24"/>
      <w:szCs w:val="24"/>
    </w:rPr>
  </w:style>
  <w:style w:type="character" w:customStyle="1" w:styleId="ListLabel103">
    <w:name w:val="ListLabel 103"/>
    <w:qFormat/>
    <w:rPr>
      <w:sz w:val="24"/>
      <w:szCs w:val="24"/>
    </w:rPr>
  </w:style>
  <w:style w:type="character" w:customStyle="1" w:styleId="ListLabel104">
    <w:name w:val="ListLabel 104"/>
    <w:qFormat/>
    <w:rPr>
      <w:sz w:val="24"/>
      <w:szCs w:val="24"/>
    </w:rPr>
  </w:style>
  <w:style w:type="character" w:customStyle="1" w:styleId="ListLabel105">
    <w:name w:val="ListLabel 105"/>
    <w:qFormat/>
    <w:rPr>
      <w:sz w:val="24"/>
      <w:szCs w:val="24"/>
    </w:rPr>
  </w:style>
  <w:style w:type="character" w:customStyle="1" w:styleId="ListLabel106">
    <w:name w:val="ListLabel 106"/>
    <w:qFormat/>
    <w:rPr>
      <w:sz w:val="24"/>
      <w:szCs w:val="24"/>
    </w:rPr>
  </w:style>
  <w:style w:type="character" w:customStyle="1" w:styleId="ListLabel107">
    <w:name w:val="ListLabel 107"/>
    <w:qFormat/>
    <w:rPr>
      <w:sz w:val="24"/>
      <w:szCs w:val="24"/>
    </w:rPr>
  </w:style>
  <w:style w:type="character" w:customStyle="1" w:styleId="ListLabel108">
    <w:name w:val="ListLabel 108"/>
    <w:qFormat/>
    <w:rPr>
      <w:sz w:val="24"/>
      <w:szCs w:val="24"/>
    </w:rPr>
  </w:style>
  <w:style w:type="character" w:customStyle="1" w:styleId="ListLabel109">
    <w:name w:val="ListLabel 109"/>
    <w:qFormat/>
    <w:rPr>
      <w:rFonts w:ascii="Times New Roman" w:hAnsi="Times New Roman"/>
      <w:b/>
      <w:sz w:val="24"/>
      <w:szCs w:val="22"/>
    </w:rPr>
  </w:style>
  <w:style w:type="character" w:customStyle="1" w:styleId="ListLabel110">
    <w:name w:val="ListLabel 110"/>
    <w:qFormat/>
    <w:rPr>
      <w:sz w:val="24"/>
      <w:szCs w:val="24"/>
    </w:rPr>
  </w:style>
  <w:style w:type="character" w:customStyle="1" w:styleId="ListLabel111">
    <w:name w:val="ListLabel 111"/>
    <w:qFormat/>
    <w:rPr>
      <w:sz w:val="24"/>
      <w:szCs w:val="24"/>
    </w:rPr>
  </w:style>
  <w:style w:type="character" w:customStyle="1" w:styleId="ListLabel112">
    <w:name w:val="ListLabel 112"/>
    <w:qFormat/>
    <w:rPr>
      <w:sz w:val="24"/>
      <w:szCs w:val="24"/>
    </w:rPr>
  </w:style>
  <w:style w:type="character" w:customStyle="1" w:styleId="ListLabel113">
    <w:name w:val="ListLabel 113"/>
    <w:qFormat/>
    <w:rPr>
      <w:sz w:val="24"/>
      <w:szCs w:val="24"/>
    </w:rPr>
  </w:style>
  <w:style w:type="character" w:customStyle="1" w:styleId="ListLabel114">
    <w:name w:val="ListLabel 114"/>
    <w:qFormat/>
    <w:rPr>
      <w:sz w:val="24"/>
      <w:szCs w:val="24"/>
    </w:rPr>
  </w:style>
  <w:style w:type="character" w:customStyle="1" w:styleId="ListLabel115">
    <w:name w:val="ListLabel 115"/>
    <w:qFormat/>
    <w:rPr>
      <w:sz w:val="24"/>
      <w:szCs w:val="24"/>
    </w:rPr>
  </w:style>
  <w:style w:type="character" w:customStyle="1" w:styleId="ListLabel116">
    <w:name w:val="ListLabel 116"/>
    <w:qFormat/>
    <w:rPr>
      <w:sz w:val="24"/>
      <w:szCs w:val="24"/>
    </w:rPr>
  </w:style>
  <w:style w:type="character" w:customStyle="1" w:styleId="ListLabel117">
    <w:name w:val="ListLabel 117"/>
    <w:qFormat/>
    <w:rPr>
      <w:sz w:val="24"/>
      <w:szCs w:val="24"/>
    </w:rPr>
  </w:style>
  <w:style w:type="character" w:customStyle="1" w:styleId="ListLabel118">
    <w:name w:val="ListLabel 118"/>
    <w:qFormat/>
    <w:rPr>
      <w:rFonts w:ascii="Times New Roman" w:hAnsi="Times New Roman"/>
      <w:b/>
      <w:sz w:val="24"/>
      <w:szCs w:val="22"/>
    </w:rPr>
  </w:style>
  <w:style w:type="character" w:customStyle="1" w:styleId="ListLabel119">
    <w:name w:val="ListLabel 119"/>
    <w:qFormat/>
    <w:rPr>
      <w:sz w:val="24"/>
      <w:szCs w:val="24"/>
    </w:rPr>
  </w:style>
  <w:style w:type="character" w:customStyle="1" w:styleId="ListLabel120">
    <w:name w:val="ListLabel 120"/>
    <w:qFormat/>
    <w:rPr>
      <w:sz w:val="24"/>
      <w:szCs w:val="24"/>
    </w:rPr>
  </w:style>
  <w:style w:type="character" w:customStyle="1" w:styleId="ListLabel121">
    <w:name w:val="ListLabel 121"/>
    <w:qFormat/>
    <w:rPr>
      <w:sz w:val="24"/>
      <w:szCs w:val="24"/>
    </w:rPr>
  </w:style>
  <w:style w:type="character" w:customStyle="1" w:styleId="ListLabel122">
    <w:name w:val="ListLabel 122"/>
    <w:qFormat/>
    <w:rPr>
      <w:sz w:val="24"/>
      <w:szCs w:val="24"/>
    </w:rPr>
  </w:style>
  <w:style w:type="character" w:customStyle="1" w:styleId="ListLabel123">
    <w:name w:val="ListLabel 123"/>
    <w:qFormat/>
    <w:rPr>
      <w:sz w:val="24"/>
      <w:szCs w:val="24"/>
    </w:rPr>
  </w:style>
  <w:style w:type="character" w:customStyle="1" w:styleId="ListLabel124">
    <w:name w:val="ListLabel 124"/>
    <w:qFormat/>
    <w:rPr>
      <w:sz w:val="24"/>
      <w:szCs w:val="24"/>
    </w:rPr>
  </w:style>
  <w:style w:type="character" w:customStyle="1" w:styleId="ListLabel125">
    <w:name w:val="ListLabel 125"/>
    <w:qFormat/>
    <w:rPr>
      <w:sz w:val="24"/>
      <w:szCs w:val="24"/>
    </w:rPr>
  </w:style>
  <w:style w:type="character" w:customStyle="1" w:styleId="ListLabel126">
    <w:name w:val="ListLabel 126"/>
    <w:qFormat/>
    <w:rPr>
      <w:sz w:val="24"/>
      <w:szCs w:val="24"/>
    </w:rPr>
  </w:style>
  <w:style w:type="character" w:customStyle="1" w:styleId="ListLabel127">
    <w:name w:val="ListLabel 127"/>
    <w:qFormat/>
    <w:rPr>
      <w:rFonts w:ascii="Times New Roman" w:hAnsi="Times New Roman"/>
      <w:b/>
      <w:bCs/>
      <w:sz w:val="24"/>
      <w:szCs w:val="22"/>
    </w:rPr>
  </w:style>
  <w:style w:type="character" w:customStyle="1" w:styleId="ListLabel128">
    <w:name w:val="ListLabel 128"/>
    <w:qFormat/>
    <w:rPr>
      <w:b/>
      <w:bCs/>
      <w:sz w:val="24"/>
      <w:szCs w:val="24"/>
    </w:rPr>
  </w:style>
  <w:style w:type="character" w:customStyle="1" w:styleId="ListLabel129">
    <w:name w:val="ListLabel 129"/>
    <w:qFormat/>
    <w:rPr>
      <w:b/>
      <w:bCs/>
      <w:sz w:val="24"/>
      <w:szCs w:val="24"/>
    </w:rPr>
  </w:style>
  <w:style w:type="character" w:customStyle="1" w:styleId="ListLabel130">
    <w:name w:val="ListLabel 130"/>
    <w:qFormat/>
    <w:rPr>
      <w:b/>
      <w:bCs/>
      <w:sz w:val="24"/>
      <w:szCs w:val="24"/>
    </w:rPr>
  </w:style>
  <w:style w:type="character" w:customStyle="1" w:styleId="ListLabel131">
    <w:name w:val="ListLabel 131"/>
    <w:qFormat/>
    <w:rPr>
      <w:b/>
      <w:bCs/>
      <w:sz w:val="24"/>
      <w:szCs w:val="24"/>
    </w:rPr>
  </w:style>
  <w:style w:type="character" w:customStyle="1" w:styleId="ListLabel132">
    <w:name w:val="ListLabel 132"/>
    <w:qFormat/>
    <w:rPr>
      <w:b/>
      <w:bCs/>
      <w:sz w:val="24"/>
      <w:szCs w:val="24"/>
    </w:rPr>
  </w:style>
  <w:style w:type="character" w:customStyle="1" w:styleId="ListLabel133">
    <w:name w:val="ListLabel 133"/>
    <w:qFormat/>
    <w:rPr>
      <w:b/>
      <w:bCs/>
      <w:sz w:val="24"/>
      <w:szCs w:val="24"/>
    </w:rPr>
  </w:style>
  <w:style w:type="character" w:customStyle="1" w:styleId="ListLabel134">
    <w:name w:val="ListLabel 134"/>
    <w:qFormat/>
    <w:rPr>
      <w:b/>
      <w:bCs/>
      <w:sz w:val="24"/>
      <w:szCs w:val="24"/>
    </w:rPr>
  </w:style>
  <w:style w:type="character" w:customStyle="1" w:styleId="ListLabel135">
    <w:name w:val="ListLabel 135"/>
    <w:qFormat/>
    <w:rPr>
      <w:b/>
      <w:bCs/>
      <w:sz w:val="24"/>
      <w:szCs w:val="24"/>
    </w:rPr>
  </w:style>
  <w:style w:type="character" w:customStyle="1" w:styleId="ListLabel136">
    <w:name w:val="ListLabel 136"/>
    <w:qFormat/>
    <w:rPr>
      <w:rFonts w:ascii="Times New Roman" w:hAnsi="Times New Roman"/>
      <w:b/>
      <w:sz w:val="24"/>
      <w:szCs w:val="22"/>
    </w:rPr>
  </w:style>
  <w:style w:type="character" w:customStyle="1" w:styleId="ListLabel137">
    <w:name w:val="ListLabel 137"/>
    <w:qFormat/>
    <w:rPr>
      <w:sz w:val="24"/>
      <w:szCs w:val="24"/>
    </w:rPr>
  </w:style>
  <w:style w:type="character" w:customStyle="1" w:styleId="ListLabel138">
    <w:name w:val="ListLabel 138"/>
    <w:qFormat/>
    <w:rPr>
      <w:sz w:val="24"/>
      <w:szCs w:val="24"/>
    </w:rPr>
  </w:style>
  <w:style w:type="character" w:customStyle="1" w:styleId="ListLabel139">
    <w:name w:val="ListLabel 139"/>
    <w:qFormat/>
    <w:rPr>
      <w:sz w:val="24"/>
      <w:szCs w:val="24"/>
    </w:rPr>
  </w:style>
  <w:style w:type="character" w:customStyle="1" w:styleId="ListLabel140">
    <w:name w:val="ListLabel 140"/>
    <w:qFormat/>
    <w:rPr>
      <w:sz w:val="24"/>
      <w:szCs w:val="24"/>
    </w:rPr>
  </w:style>
  <w:style w:type="character" w:customStyle="1" w:styleId="ListLabel141">
    <w:name w:val="ListLabel 141"/>
    <w:qFormat/>
    <w:rPr>
      <w:sz w:val="24"/>
      <w:szCs w:val="24"/>
    </w:rPr>
  </w:style>
  <w:style w:type="character" w:customStyle="1" w:styleId="ListLabel142">
    <w:name w:val="ListLabel 142"/>
    <w:qFormat/>
    <w:rPr>
      <w:sz w:val="24"/>
      <w:szCs w:val="24"/>
    </w:rPr>
  </w:style>
  <w:style w:type="character" w:customStyle="1" w:styleId="ListLabel143">
    <w:name w:val="ListLabel 143"/>
    <w:qFormat/>
    <w:rPr>
      <w:sz w:val="24"/>
      <w:szCs w:val="24"/>
    </w:rPr>
  </w:style>
  <w:style w:type="character" w:customStyle="1" w:styleId="ListLabel144">
    <w:name w:val="ListLabel 144"/>
    <w:qFormat/>
    <w:rPr>
      <w:sz w:val="24"/>
      <w:szCs w:val="24"/>
    </w:rPr>
  </w:style>
  <w:style w:type="character" w:customStyle="1" w:styleId="ListLabel145">
    <w:name w:val="ListLabel 145"/>
    <w:qFormat/>
    <w:rPr>
      <w:rFonts w:ascii="Times New Roman" w:hAnsi="Times New Roman"/>
      <w:b/>
      <w:sz w:val="24"/>
      <w:szCs w:val="22"/>
    </w:rPr>
  </w:style>
  <w:style w:type="character" w:customStyle="1" w:styleId="ListLabel146">
    <w:name w:val="ListLabel 146"/>
    <w:qFormat/>
    <w:rPr>
      <w:sz w:val="24"/>
      <w:szCs w:val="24"/>
    </w:rPr>
  </w:style>
  <w:style w:type="character" w:customStyle="1" w:styleId="ListLabel147">
    <w:name w:val="ListLabel 147"/>
    <w:qFormat/>
    <w:rPr>
      <w:sz w:val="24"/>
      <w:szCs w:val="24"/>
    </w:rPr>
  </w:style>
  <w:style w:type="character" w:customStyle="1" w:styleId="ListLabel148">
    <w:name w:val="ListLabel 148"/>
    <w:qFormat/>
    <w:rPr>
      <w:sz w:val="24"/>
      <w:szCs w:val="24"/>
    </w:rPr>
  </w:style>
  <w:style w:type="character" w:customStyle="1" w:styleId="ListLabel149">
    <w:name w:val="ListLabel 149"/>
    <w:qFormat/>
    <w:rPr>
      <w:sz w:val="24"/>
      <w:szCs w:val="24"/>
    </w:rPr>
  </w:style>
  <w:style w:type="character" w:customStyle="1" w:styleId="ListLabel150">
    <w:name w:val="ListLabel 150"/>
    <w:qFormat/>
    <w:rPr>
      <w:sz w:val="24"/>
      <w:szCs w:val="24"/>
    </w:rPr>
  </w:style>
  <w:style w:type="character" w:customStyle="1" w:styleId="ListLabel151">
    <w:name w:val="ListLabel 151"/>
    <w:qFormat/>
    <w:rPr>
      <w:sz w:val="24"/>
      <w:szCs w:val="24"/>
    </w:rPr>
  </w:style>
  <w:style w:type="character" w:customStyle="1" w:styleId="ListLabel152">
    <w:name w:val="ListLabel 152"/>
    <w:qFormat/>
    <w:rPr>
      <w:sz w:val="24"/>
      <w:szCs w:val="24"/>
    </w:rPr>
  </w:style>
  <w:style w:type="character" w:customStyle="1" w:styleId="ListLabel153">
    <w:name w:val="ListLabel 153"/>
    <w:qFormat/>
    <w:rPr>
      <w:sz w:val="24"/>
      <w:szCs w:val="24"/>
    </w:rPr>
  </w:style>
  <w:style w:type="character" w:customStyle="1" w:styleId="ListLabel154">
    <w:name w:val="ListLabel 154"/>
    <w:qFormat/>
    <w:rPr>
      <w:rFonts w:ascii="Times New Roman" w:hAnsi="Times New Roman"/>
      <w:b/>
      <w:sz w:val="24"/>
      <w:szCs w:val="22"/>
    </w:rPr>
  </w:style>
  <w:style w:type="character" w:customStyle="1" w:styleId="ListLabel155">
    <w:name w:val="ListLabel 155"/>
    <w:qFormat/>
    <w:rPr>
      <w:sz w:val="24"/>
      <w:szCs w:val="24"/>
    </w:rPr>
  </w:style>
  <w:style w:type="character" w:customStyle="1" w:styleId="ListLabel156">
    <w:name w:val="ListLabel 156"/>
    <w:qFormat/>
    <w:rPr>
      <w:sz w:val="24"/>
      <w:szCs w:val="24"/>
    </w:rPr>
  </w:style>
  <w:style w:type="character" w:customStyle="1" w:styleId="ListLabel157">
    <w:name w:val="ListLabel 157"/>
    <w:qFormat/>
    <w:rPr>
      <w:sz w:val="24"/>
      <w:szCs w:val="24"/>
    </w:rPr>
  </w:style>
  <w:style w:type="character" w:customStyle="1" w:styleId="ListLabel158">
    <w:name w:val="ListLabel 158"/>
    <w:qFormat/>
    <w:rPr>
      <w:sz w:val="24"/>
      <w:szCs w:val="24"/>
    </w:rPr>
  </w:style>
  <w:style w:type="character" w:customStyle="1" w:styleId="ListLabel159">
    <w:name w:val="ListLabel 159"/>
    <w:qFormat/>
    <w:rPr>
      <w:sz w:val="24"/>
      <w:szCs w:val="24"/>
    </w:rPr>
  </w:style>
  <w:style w:type="character" w:customStyle="1" w:styleId="ListLabel160">
    <w:name w:val="ListLabel 160"/>
    <w:qFormat/>
    <w:rPr>
      <w:sz w:val="24"/>
      <w:szCs w:val="24"/>
    </w:rPr>
  </w:style>
  <w:style w:type="character" w:customStyle="1" w:styleId="ListLabel161">
    <w:name w:val="ListLabel 161"/>
    <w:qFormat/>
    <w:rPr>
      <w:sz w:val="24"/>
      <w:szCs w:val="24"/>
    </w:rPr>
  </w:style>
  <w:style w:type="character" w:customStyle="1" w:styleId="ListLabel162">
    <w:name w:val="ListLabel 162"/>
    <w:qFormat/>
    <w:rPr>
      <w:sz w:val="24"/>
      <w:szCs w:val="24"/>
    </w:rPr>
  </w:style>
  <w:style w:type="character" w:customStyle="1" w:styleId="ListLabel163">
    <w:name w:val="ListLabel 163"/>
    <w:qFormat/>
    <w:rPr>
      <w:rFonts w:ascii="Times New Roman" w:hAnsi="Times New Roman"/>
      <w:b/>
      <w:sz w:val="24"/>
      <w:szCs w:val="22"/>
    </w:rPr>
  </w:style>
  <w:style w:type="character" w:customStyle="1" w:styleId="ListLabel164">
    <w:name w:val="ListLabel 164"/>
    <w:qFormat/>
    <w:rPr>
      <w:sz w:val="24"/>
      <w:szCs w:val="24"/>
    </w:rPr>
  </w:style>
  <w:style w:type="character" w:customStyle="1" w:styleId="ListLabel165">
    <w:name w:val="ListLabel 165"/>
    <w:qFormat/>
    <w:rPr>
      <w:sz w:val="24"/>
      <w:szCs w:val="24"/>
    </w:rPr>
  </w:style>
  <w:style w:type="character" w:customStyle="1" w:styleId="ListLabel166">
    <w:name w:val="ListLabel 166"/>
    <w:qFormat/>
    <w:rPr>
      <w:sz w:val="24"/>
      <w:szCs w:val="24"/>
    </w:rPr>
  </w:style>
  <w:style w:type="character" w:customStyle="1" w:styleId="ListLabel167">
    <w:name w:val="ListLabel 167"/>
    <w:qFormat/>
    <w:rPr>
      <w:sz w:val="24"/>
      <w:szCs w:val="24"/>
    </w:rPr>
  </w:style>
  <w:style w:type="character" w:customStyle="1" w:styleId="ListLabel168">
    <w:name w:val="ListLabel 168"/>
    <w:qFormat/>
    <w:rPr>
      <w:sz w:val="24"/>
      <w:szCs w:val="24"/>
    </w:rPr>
  </w:style>
  <w:style w:type="character" w:customStyle="1" w:styleId="ListLabel169">
    <w:name w:val="ListLabel 169"/>
    <w:qFormat/>
    <w:rPr>
      <w:sz w:val="24"/>
      <w:szCs w:val="24"/>
    </w:rPr>
  </w:style>
  <w:style w:type="character" w:customStyle="1" w:styleId="ListLabel170">
    <w:name w:val="ListLabel 170"/>
    <w:qFormat/>
    <w:rPr>
      <w:sz w:val="24"/>
      <w:szCs w:val="24"/>
    </w:rPr>
  </w:style>
  <w:style w:type="character" w:customStyle="1" w:styleId="ListLabel171">
    <w:name w:val="ListLabel 171"/>
    <w:qFormat/>
    <w:rPr>
      <w:sz w:val="24"/>
      <w:szCs w:val="24"/>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eastAsia="Times New Roman" w:cs="Times New Roman"/>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eastAsia="Times New Roman" w:cs="Times New Roman"/>
      <w:b/>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ascii="Times New Roman" w:eastAsia="Times New Roman" w:hAnsi="Times New Roman" w:cs="Times New Roman"/>
      <w:sz w:val="24"/>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ascii="Times New Roman" w:eastAsia="Times New Roman" w:hAnsi="Times New Roman" w:cs="Times New Roman"/>
      <w:sz w:val="24"/>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ascii="Times New Roman" w:eastAsia="Times New Roman" w:hAnsi="Times New Roman" w:cs="Times New Roman"/>
      <w:sz w:val="24"/>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Caratterinotaapidipagina">
    <w:name w:val="Caratteri nota a piè di pagina"/>
    <w:qFormat/>
  </w:style>
  <w:style w:type="character" w:customStyle="1" w:styleId="Richiamoallanotadichiusura">
    <w:name w:val="Richiamo alla nota di chiusura"/>
    <w:rPr>
      <w:vertAlign w:val="superscript"/>
    </w:rPr>
  </w:style>
  <w:style w:type="character" w:customStyle="1" w:styleId="Caratterinotadichiusura">
    <w:name w:val="Caratteri nota di chiusura"/>
    <w:qFormat/>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styleId="Intestazione">
    <w:name w:val="header"/>
    <w:pPr>
      <w:tabs>
        <w:tab w:val="center" w:pos="4819"/>
        <w:tab w:val="right" w:pos="9638"/>
      </w:tabs>
    </w:pPr>
    <w:rPr>
      <w:rFonts w:cs="Arial Unicode MS"/>
      <w:color w:val="000000"/>
      <w:sz w:val="24"/>
      <w:u w:color="000000"/>
    </w:rPr>
  </w:style>
  <w:style w:type="paragraph" w:customStyle="1" w:styleId="Intestazioneepidipagina">
    <w:name w:val="Intestazione e piè di pagina"/>
    <w:qFormat/>
    <w:pPr>
      <w:tabs>
        <w:tab w:val="right" w:pos="9020"/>
      </w:tabs>
    </w:pPr>
    <w:rPr>
      <w:rFonts w:ascii="Helvetica" w:hAnsi="Helvetica" w:cs="Arial Unicode MS"/>
      <w:color w:val="000000"/>
      <w:sz w:val="24"/>
      <w:szCs w:val="24"/>
    </w:rPr>
  </w:style>
  <w:style w:type="paragraph" w:styleId="Pidipagina">
    <w:name w:val="footer"/>
    <w:link w:val="PidipaginaCarattere"/>
    <w:uiPriority w:val="99"/>
    <w:pPr>
      <w:tabs>
        <w:tab w:val="center" w:pos="4819"/>
        <w:tab w:val="right" w:pos="9638"/>
      </w:tabs>
    </w:pPr>
    <w:rPr>
      <w:rFonts w:eastAsia="Times New Roman"/>
      <w:color w:val="000000"/>
      <w:sz w:val="24"/>
      <w:szCs w:val="24"/>
      <w:u w:color="000000"/>
    </w:rPr>
  </w:style>
  <w:style w:type="paragraph" w:styleId="Paragrafoelenco">
    <w:name w:val="List Paragraph"/>
    <w:uiPriority w:val="34"/>
    <w:qFormat/>
    <w:pPr>
      <w:spacing w:after="200" w:line="276" w:lineRule="auto"/>
      <w:ind w:left="720"/>
    </w:pPr>
    <w:rPr>
      <w:rFonts w:ascii="Calibri" w:eastAsia="Calibri" w:hAnsi="Calibri" w:cs="Calibri"/>
      <w:color w:val="000000"/>
      <w:sz w:val="22"/>
      <w:szCs w:val="22"/>
      <w:u w:color="000000"/>
    </w:rPr>
  </w:style>
  <w:style w:type="paragraph" w:styleId="NormaleWeb">
    <w:name w:val="Normal (Web)"/>
    <w:qFormat/>
    <w:pPr>
      <w:spacing w:before="100" w:after="100"/>
    </w:pPr>
    <w:rPr>
      <w:rFonts w:cs="Arial Unicode MS"/>
      <w:color w:val="000000"/>
      <w:sz w:val="24"/>
      <w:szCs w:val="24"/>
      <w:u w:color="000000"/>
    </w:rPr>
  </w:style>
  <w:style w:type="paragraph" w:styleId="Testofumetto">
    <w:name w:val="Balloon Text"/>
    <w:basedOn w:val="Normale"/>
    <w:link w:val="TestofumettoCarattere"/>
    <w:uiPriority w:val="99"/>
    <w:semiHidden/>
    <w:unhideWhenUsed/>
    <w:qFormat/>
    <w:rsid w:val="00C355C3"/>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9336AA"/>
    <w:rPr>
      <w:rFonts w:asciiTheme="minorHAnsi" w:eastAsiaTheme="minorHAnsi" w:hAnsiTheme="minorHAnsi" w:cstheme="minorBidi"/>
      <w:color w:val="auto"/>
      <w:sz w:val="20"/>
      <w:szCs w:val="20"/>
      <w:lang w:eastAsia="en-US"/>
    </w:rPr>
  </w:style>
  <w:style w:type="paragraph" w:styleId="Revisione">
    <w:name w:val="Revision"/>
    <w:uiPriority w:val="99"/>
    <w:semiHidden/>
    <w:qFormat/>
    <w:rsid w:val="00AB5B8B"/>
    <w:rPr>
      <w:rFonts w:cs="Arial Unicode MS"/>
      <w:color w:val="000000"/>
      <w:sz w:val="24"/>
      <w:szCs w:val="24"/>
      <w:u w:color="000000"/>
    </w:rPr>
  </w:style>
  <w:style w:type="paragraph" w:styleId="Testocommento">
    <w:name w:val="annotation text"/>
    <w:basedOn w:val="Normale"/>
    <w:link w:val="TestocommentoCarattere"/>
    <w:uiPriority w:val="99"/>
    <w:semiHidden/>
    <w:unhideWhenUsed/>
    <w:qFormat/>
    <w:rsid w:val="00AB5B8B"/>
    <w:rPr>
      <w:sz w:val="20"/>
      <w:szCs w:val="20"/>
    </w:rPr>
  </w:style>
  <w:style w:type="paragraph" w:styleId="Soggettocommento">
    <w:name w:val="annotation subject"/>
    <w:basedOn w:val="Testocommento"/>
    <w:next w:val="Testocommento"/>
    <w:link w:val="SoggettocommentoCarattere"/>
    <w:uiPriority w:val="99"/>
    <w:semiHidden/>
    <w:unhideWhenUsed/>
    <w:qFormat/>
    <w:rsid w:val="00AB5B8B"/>
    <w:rPr>
      <w:b/>
      <w:bCs/>
    </w:rPr>
  </w:style>
  <w:style w:type="paragraph" w:customStyle="1" w:styleId="Pa1">
    <w:name w:val="Pa1"/>
    <w:basedOn w:val="Normale"/>
    <w:next w:val="Normale"/>
    <w:uiPriority w:val="99"/>
    <w:qFormat/>
    <w:rsid w:val="00227060"/>
    <w:pPr>
      <w:widowControl w:val="0"/>
      <w:spacing w:line="241" w:lineRule="atLeast"/>
    </w:pPr>
    <w:rPr>
      <w:rFonts w:ascii="Arial Narrow" w:eastAsiaTheme="minorEastAsia" w:hAnsi="Arial Narrow" w:cstheme="minorBidi"/>
      <w:color w:val="auto"/>
    </w:rPr>
  </w:style>
  <w:style w:type="paragraph" w:customStyle="1" w:styleId="Contenutocornice">
    <w:name w:val="Contenuto cornice"/>
    <w:basedOn w:val="Normale"/>
    <w:qFormat/>
  </w:style>
  <w:style w:type="numbering" w:customStyle="1" w:styleId="List0">
    <w:name w:val="List 0"/>
    <w:qFormat/>
  </w:style>
  <w:style w:type="numbering" w:customStyle="1" w:styleId="Stileimportato1">
    <w:name w:val="Stile importato 1"/>
    <w:qFormat/>
  </w:style>
  <w:style w:type="numbering" w:customStyle="1" w:styleId="Elenco1">
    <w:name w:val="Elenco 1"/>
    <w:qFormat/>
  </w:style>
  <w:style w:type="numbering" w:customStyle="1" w:styleId="Stileimportato2">
    <w:name w:val="Stile importato 2"/>
    <w:qFormat/>
  </w:style>
  <w:style w:type="numbering" w:customStyle="1" w:styleId="Elenco21">
    <w:name w:val="Elenco 21"/>
    <w:qFormat/>
  </w:style>
  <w:style w:type="numbering" w:customStyle="1" w:styleId="Stileimportato3">
    <w:name w:val="Stile importato 3"/>
    <w:qFormat/>
  </w:style>
  <w:style w:type="numbering" w:customStyle="1" w:styleId="Elenco31">
    <w:name w:val="Elenco 31"/>
    <w:qFormat/>
  </w:style>
  <w:style w:type="numbering" w:customStyle="1" w:styleId="Stileimportato4">
    <w:name w:val="Stile importato 4"/>
    <w:qFormat/>
  </w:style>
  <w:style w:type="numbering" w:customStyle="1" w:styleId="Elenco41">
    <w:name w:val="Elenco 41"/>
    <w:qFormat/>
  </w:style>
  <w:style w:type="numbering" w:customStyle="1" w:styleId="Stileimportato5">
    <w:name w:val="Stile importato 5"/>
    <w:qFormat/>
  </w:style>
  <w:style w:type="numbering" w:customStyle="1" w:styleId="Elenco51">
    <w:name w:val="Elenco 51"/>
    <w:qFormat/>
  </w:style>
  <w:style w:type="numbering" w:customStyle="1" w:styleId="Stileimportato6">
    <w:name w:val="Stile importato 6"/>
    <w:qFormat/>
  </w:style>
  <w:style w:type="numbering" w:customStyle="1" w:styleId="List6">
    <w:name w:val="List 6"/>
    <w:qFormat/>
  </w:style>
  <w:style w:type="numbering" w:customStyle="1" w:styleId="Stileimportato7">
    <w:name w:val="Stile importato 7"/>
    <w:qFormat/>
  </w:style>
  <w:style w:type="numbering" w:customStyle="1" w:styleId="List7">
    <w:name w:val="List 7"/>
    <w:qFormat/>
  </w:style>
  <w:style w:type="numbering" w:customStyle="1" w:styleId="List8">
    <w:name w:val="List 8"/>
    <w:qFormat/>
  </w:style>
  <w:style w:type="numbering" w:customStyle="1" w:styleId="Stileimportato8">
    <w:name w:val="Stile importato 8"/>
    <w:qFormat/>
  </w:style>
  <w:style w:type="table" w:customStyle="1" w:styleId="TableNormal">
    <w:name w:val="Table Normal"/>
    <w:tblPr>
      <w:tblInd w:w="0" w:type="dxa"/>
      <w:tblCellMar>
        <w:top w:w="0" w:type="dxa"/>
        <w:left w:w="0" w:type="dxa"/>
        <w:bottom w:w="0" w:type="dxa"/>
        <w:right w:w="0" w:type="dxa"/>
      </w:tblCellMar>
    </w:tblPr>
  </w:style>
  <w:style w:type="table" w:customStyle="1" w:styleId="TableNormal1">
    <w:name w:val="Table Normal1"/>
    <w:rsid w:val="00F35EDE"/>
    <w:rPr>
      <w:lang w:eastAsia="en-US"/>
    </w:rPr>
    <w:tblPr>
      <w:tblCellMar>
        <w:top w:w="0" w:type="dxa"/>
        <w:left w:w="0" w:type="dxa"/>
        <w:bottom w:w="0" w:type="dxa"/>
        <w:right w:w="0" w:type="dxa"/>
      </w:tblCellMar>
    </w:tblPr>
  </w:style>
  <w:style w:type="character" w:customStyle="1" w:styleId="Titolo4Carattere">
    <w:name w:val="Titolo 4 Carattere"/>
    <w:basedOn w:val="Carpredefinitoparagrafo"/>
    <w:link w:val="Titolo4"/>
    <w:uiPriority w:val="9"/>
    <w:semiHidden/>
    <w:rsid w:val="00ED7B5A"/>
    <w:rPr>
      <w:rFonts w:asciiTheme="majorHAnsi" w:eastAsiaTheme="majorEastAsia" w:hAnsiTheme="majorHAnsi" w:cstheme="majorBidi"/>
      <w:i/>
      <w:iCs/>
      <w:color w:val="2F759E" w:themeColor="accent1" w:themeShade="BF"/>
      <w:sz w:val="24"/>
      <w:szCs w:val="24"/>
      <w:u w:color="000000"/>
    </w:rPr>
  </w:style>
  <w:style w:type="paragraph" w:customStyle="1" w:styleId="t3">
    <w:name w:val="t3"/>
    <w:basedOn w:val="Normale"/>
    <w:rsid w:val="00ED7B5A"/>
    <w:pPr>
      <w:widowControl w:val="0"/>
      <w:overflowPunct w:val="0"/>
      <w:autoSpaceDE w:val="0"/>
      <w:autoSpaceDN w:val="0"/>
      <w:adjustRightInd w:val="0"/>
      <w:spacing w:line="240" w:lineRule="atLeast"/>
    </w:pPr>
    <w:rPr>
      <w:rFonts w:eastAsia="Times New Roman" w:cs="Times New Roman"/>
      <w:color w:val="auto"/>
      <w:szCs w:val="20"/>
    </w:rPr>
  </w:style>
  <w:style w:type="character" w:styleId="Rimandonotaapidipagina">
    <w:name w:val="footnote reference"/>
    <w:basedOn w:val="Carpredefinitoparagrafo"/>
    <w:uiPriority w:val="99"/>
    <w:semiHidden/>
    <w:unhideWhenUsed/>
    <w:rsid w:val="00DA170E"/>
    <w:rPr>
      <w:vertAlign w:val="superscript"/>
    </w:rPr>
  </w:style>
  <w:style w:type="character" w:customStyle="1" w:styleId="period">
    <w:name w:val="period"/>
    <w:basedOn w:val="Carpredefinitoparagrafo"/>
    <w:rsid w:val="00AD0903"/>
  </w:style>
  <w:style w:type="character" w:customStyle="1" w:styleId="cit">
    <w:name w:val="cit"/>
    <w:basedOn w:val="Carpredefinitoparagrafo"/>
    <w:rsid w:val="00AD0903"/>
  </w:style>
  <w:style w:type="character" w:styleId="Collegamentoipertestuale">
    <w:name w:val="Hyperlink"/>
    <w:rsid w:val="00801E0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373653">
      <w:bodyDiv w:val="1"/>
      <w:marLeft w:val="0"/>
      <w:marRight w:val="0"/>
      <w:marTop w:val="0"/>
      <w:marBottom w:val="0"/>
      <w:divBdr>
        <w:top w:val="none" w:sz="0" w:space="0" w:color="auto"/>
        <w:left w:val="none" w:sz="0" w:space="0" w:color="auto"/>
        <w:bottom w:val="none" w:sz="0" w:space="0" w:color="auto"/>
        <w:right w:val="none" w:sz="0" w:space="0" w:color="auto"/>
      </w:divBdr>
    </w:div>
    <w:div w:id="620763096">
      <w:bodyDiv w:val="1"/>
      <w:marLeft w:val="0"/>
      <w:marRight w:val="0"/>
      <w:marTop w:val="0"/>
      <w:marBottom w:val="0"/>
      <w:divBdr>
        <w:top w:val="none" w:sz="0" w:space="0" w:color="auto"/>
        <w:left w:val="none" w:sz="0" w:space="0" w:color="auto"/>
        <w:bottom w:val="none" w:sz="0" w:space="0" w:color="auto"/>
        <w:right w:val="none" w:sz="0" w:space="0" w:color="auto"/>
      </w:divBdr>
      <w:divsChild>
        <w:div w:id="187064448">
          <w:marLeft w:val="0"/>
          <w:marRight w:val="0"/>
          <w:marTop w:val="0"/>
          <w:marBottom w:val="0"/>
          <w:divBdr>
            <w:top w:val="none" w:sz="0" w:space="0" w:color="auto"/>
            <w:left w:val="none" w:sz="0" w:space="0" w:color="auto"/>
            <w:bottom w:val="none" w:sz="0" w:space="0" w:color="auto"/>
            <w:right w:val="none" w:sz="0" w:space="0" w:color="auto"/>
          </w:divBdr>
          <w:divsChild>
            <w:div w:id="15591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1835">
      <w:bodyDiv w:val="1"/>
      <w:marLeft w:val="0"/>
      <w:marRight w:val="0"/>
      <w:marTop w:val="0"/>
      <w:marBottom w:val="0"/>
      <w:divBdr>
        <w:top w:val="none" w:sz="0" w:space="0" w:color="auto"/>
        <w:left w:val="none" w:sz="0" w:space="0" w:color="auto"/>
        <w:bottom w:val="none" w:sz="0" w:space="0" w:color="auto"/>
        <w:right w:val="none" w:sz="0" w:space="0" w:color="auto"/>
      </w:divBdr>
    </w:div>
    <w:div w:id="1395472023">
      <w:bodyDiv w:val="1"/>
      <w:marLeft w:val="0"/>
      <w:marRight w:val="0"/>
      <w:marTop w:val="0"/>
      <w:marBottom w:val="0"/>
      <w:divBdr>
        <w:top w:val="none" w:sz="0" w:space="0" w:color="auto"/>
        <w:left w:val="none" w:sz="0" w:space="0" w:color="auto"/>
        <w:bottom w:val="none" w:sz="0" w:space="0" w:color="auto"/>
        <w:right w:val="none" w:sz="0" w:space="0" w:color="auto"/>
      </w:divBdr>
      <w:divsChild>
        <w:div w:id="902108899">
          <w:marLeft w:val="0"/>
          <w:marRight w:val="0"/>
          <w:marTop w:val="0"/>
          <w:marBottom w:val="0"/>
          <w:divBdr>
            <w:top w:val="none" w:sz="0" w:space="0" w:color="auto"/>
            <w:left w:val="none" w:sz="0" w:space="0" w:color="auto"/>
            <w:bottom w:val="none" w:sz="0" w:space="0" w:color="auto"/>
            <w:right w:val="none" w:sz="0" w:space="0" w:color="auto"/>
          </w:divBdr>
        </w:div>
        <w:div w:id="134950908">
          <w:marLeft w:val="0"/>
          <w:marRight w:val="0"/>
          <w:marTop w:val="0"/>
          <w:marBottom w:val="0"/>
          <w:divBdr>
            <w:top w:val="none" w:sz="0" w:space="0" w:color="auto"/>
            <w:left w:val="none" w:sz="0" w:space="0" w:color="auto"/>
            <w:bottom w:val="none" w:sz="0" w:space="0" w:color="auto"/>
            <w:right w:val="none" w:sz="0" w:space="0" w:color="auto"/>
          </w:divBdr>
        </w:div>
        <w:div w:id="1726876697">
          <w:marLeft w:val="0"/>
          <w:marRight w:val="0"/>
          <w:marTop w:val="0"/>
          <w:marBottom w:val="0"/>
          <w:divBdr>
            <w:top w:val="none" w:sz="0" w:space="0" w:color="auto"/>
            <w:left w:val="none" w:sz="0" w:space="0" w:color="auto"/>
            <w:bottom w:val="none" w:sz="0" w:space="0" w:color="auto"/>
            <w:right w:val="none" w:sz="0" w:space="0" w:color="auto"/>
          </w:divBdr>
        </w:div>
        <w:div w:id="351689863">
          <w:marLeft w:val="0"/>
          <w:marRight w:val="0"/>
          <w:marTop w:val="0"/>
          <w:marBottom w:val="0"/>
          <w:divBdr>
            <w:top w:val="none" w:sz="0" w:space="0" w:color="auto"/>
            <w:left w:val="none" w:sz="0" w:space="0" w:color="auto"/>
            <w:bottom w:val="none" w:sz="0" w:space="0" w:color="auto"/>
            <w:right w:val="none" w:sz="0" w:space="0" w:color="auto"/>
          </w:divBdr>
        </w:div>
      </w:divsChild>
    </w:div>
    <w:div w:id="1427531774">
      <w:bodyDiv w:val="1"/>
      <w:marLeft w:val="0"/>
      <w:marRight w:val="0"/>
      <w:marTop w:val="0"/>
      <w:marBottom w:val="0"/>
      <w:divBdr>
        <w:top w:val="none" w:sz="0" w:space="0" w:color="auto"/>
        <w:left w:val="none" w:sz="0" w:space="0" w:color="auto"/>
        <w:bottom w:val="none" w:sz="0" w:space="0" w:color="auto"/>
        <w:right w:val="none" w:sz="0" w:space="0" w:color="auto"/>
      </w:divBdr>
      <w:divsChild>
        <w:div w:id="1547719905">
          <w:marLeft w:val="0"/>
          <w:marRight w:val="0"/>
          <w:marTop w:val="0"/>
          <w:marBottom w:val="0"/>
          <w:divBdr>
            <w:top w:val="none" w:sz="0" w:space="0" w:color="auto"/>
            <w:left w:val="none" w:sz="0" w:space="0" w:color="auto"/>
            <w:bottom w:val="none" w:sz="0" w:space="0" w:color="auto"/>
            <w:right w:val="none" w:sz="0" w:space="0" w:color="auto"/>
          </w:divBdr>
          <w:divsChild>
            <w:div w:id="16978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eader" Target="header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s://www.reteoncologicacampana.it/" TargetMode="External"/><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78507-E19E-40F2-9C10-4B7657237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44</Pages>
  <Words>9497</Words>
  <Characters>54134</Characters>
  <Application>Microsoft Office Word</Application>
  <DocSecurity>0</DocSecurity>
  <Lines>451</Lines>
  <Paragraphs>127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pignata</dc:creator>
  <dc:description/>
  <cp:lastModifiedBy>Elisabetta Coppola</cp:lastModifiedBy>
  <cp:revision>14</cp:revision>
  <cp:lastPrinted>2024-11-28T08:35:00Z</cp:lastPrinted>
  <dcterms:created xsi:type="dcterms:W3CDTF">2023-07-04T13:08:00Z</dcterms:created>
  <dcterms:modified xsi:type="dcterms:W3CDTF">2024-11-28T08:35:00Z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