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BDE" w:rsidRPr="003F6D44" w:rsidRDefault="00770A13" w:rsidP="003F6D44">
      <w:pPr>
        <w:keepNext/>
        <w:spacing w:line="360" w:lineRule="auto"/>
        <w:jc w:val="both"/>
        <w:rPr>
          <w:rFonts w:ascii="Times New Roman" w:hAnsi="Times New Roman"/>
          <w:lang w:eastAsia="it-IT"/>
        </w:rPr>
      </w:pPr>
      <w:bookmarkStart w:id="0" w:name="_GoBack"/>
      <w:bookmarkEnd w:id="0"/>
      <w:r w:rsidRPr="003F6D44">
        <w:rPr>
          <w:rFonts w:ascii="Times New Roman" w:hAnsi="Times New Roman"/>
          <w:b/>
          <w:lang w:eastAsia="it-IT"/>
        </w:rPr>
        <w:t xml:space="preserve">  </w:t>
      </w:r>
    </w:p>
    <w:p w:rsidR="00FF6BDE" w:rsidRPr="003F6D44" w:rsidRDefault="00FF6BDE" w:rsidP="003F6D44">
      <w:pPr>
        <w:keepNext/>
        <w:spacing w:line="360" w:lineRule="auto"/>
        <w:jc w:val="both"/>
        <w:rPr>
          <w:rFonts w:ascii="Times New Roman" w:hAnsi="Times New Roman"/>
          <w:lang w:eastAsia="it-IT"/>
        </w:rPr>
      </w:pPr>
    </w:p>
    <w:p w:rsidR="00FF6BDE" w:rsidRPr="003F6D44" w:rsidRDefault="00FF6BDE" w:rsidP="003F6D44">
      <w:pPr>
        <w:keepNext/>
        <w:spacing w:line="360" w:lineRule="auto"/>
        <w:jc w:val="both"/>
        <w:rPr>
          <w:rFonts w:ascii="Times New Roman" w:hAnsi="Times New Roman"/>
          <w:b/>
          <w:lang w:eastAsia="it-IT"/>
        </w:rPr>
      </w:pPr>
    </w:p>
    <w:p w:rsidR="00FF6BDE" w:rsidRPr="003F6D44" w:rsidRDefault="00FF6BDE" w:rsidP="003F6D44">
      <w:pPr>
        <w:keepNext/>
        <w:spacing w:line="360" w:lineRule="auto"/>
        <w:jc w:val="both"/>
        <w:rPr>
          <w:rFonts w:ascii="Times New Roman" w:hAnsi="Times New Roman"/>
          <w:b/>
          <w:lang w:eastAsia="it-IT"/>
        </w:rPr>
      </w:pPr>
    </w:p>
    <w:p w:rsidR="00FF6BDE" w:rsidRPr="003F6D44" w:rsidRDefault="00FF6BDE" w:rsidP="003F6D44">
      <w:pPr>
        <w:keepNext/>
        <w:spacing w:line="360" w:lineRule="auto"/>
        <w:jc w:val="both"/>
        <w:rPr>
          <w:rFonts w:ascii="Times New Roman" w:hAnsi="Times New Roman"/>
          <w:b/>
          <w:lang w:eastAsia="it-IT"/>
        </w:rPr>
      </w:pPr>
    </w:p>
    <w:p w:rsidR="00FF6BDE" w:rsidRPr="003F6D44" w:rsidRDefault="00FF6BDE" w:rsidP="003F6D44">
      <w:pPr>
        <w:spacing w:line="360" w:lineRule="auto"/>
        <w:jc w:val="both"/>
        <w:rPr>
          <w:rFonts w:ascii="Times New Roman" w:hAnsi="Times New Roman"/>
          <w:b/>
        </w:rPr>
      </w:pPr>
    </w:p>
    <w:p w:rsidR="00FF6BDE" w:rsidRPr="004F1EC1" w:rsidRDefault="00FF6BDE" w:rsidP="004F1EC1">
      <w:pPr>
        <w:spacing w:line="360" w:lineRule="auto"/>
        <w:jc w:val="center"/>
        <w:rPr>
          <w:rFonts w:ascii="Times New Roman" w:hAnsi="Times New Roman"/>
          <w:b/>
          <w:sz w:val="32"/>
        </w:rPr>
      </w:pPr>
    </w:p>
    <w:p w:rsidR="00FF6BDE" w:rsidRPr="004F1EC1" w:rsidRDefault="00770A13" w:rsidP="004F1EC1">
      <w:pPr>
        <w:spacing w:line="360" w:lineRule="auto"/>
        <w:jc w:val="center"/>
        <w:rPr>
          <w:rFonts w:ascii="Times New Roman" w:hAnsi="Times New Roman"/>
          <w:b/>
          <w:sz w:val="32"/>
        </w:rPr>
      </w:pPr>
      <w:r w:rsidRPr="004F1EC1">
        <w:rPr>
          <w:rFonts w:ascii="Times New Roman" w:hAnsi="Times New Roman"/>
          <w:b/>
          <w:sz w:val="32"/>
        </w:rPr>
        <w:t>Il Percorso Diagnostico Terapeutico Assistenziale (PDTA)</w:t>
      </w:r>
    </w:p>
    <w:p w:rsidR="00FF6BDE" w:rsidRPr="004F1EC1" w:rsidRDefault="00770A13" w:rsidP="004F1EC1">
      <w:pPr>
        <w:spacing w:line="360" w:lineRule="auto"/>
        <w:jc w:val="center"/>
        <w:rPr>
          <w:rFonts w:ascii="Times New Roman" w:hAnsi="Times New Roman"/>
          <w:b/>
          <w:sz w:val="32"/>
        </w:rPr>
      </w:pPr>
      <w:r w:rsidRPr="004F1EC1">
        <w:rPr>
          <w:rFonts w:ascii="Times New Roman" w:hAnsi="Times New Roman"/>
          <w:b/>
          <w:sz w:val="32"/>
        </w:rPr>
        <w:t>per il Carcinoma Tiroideo</w:t>
      </w:r>
    </w:p>
    <w:p w:rsidR="00FF6BDE" w:rsidRPr="004F1EC1" w:rsidRDefault="00FF6BDE" w:rsidP="004F1EC1">
      <w:pPr>
        <w:spacing w:line="360" w:lineRule="auto"/>
        <w:jc w:val="center"/>
        <w:rPr>
          <w:rFonts w:ascii="Times New Roman" w:hAnsi="Times New Roman"/>
          <w:b/>
          <w:sz w:val="32"/>
        </w:rPr>
      </w:pPr>
    </w:p>
    <w:p w:rsidR="00FF6BDE" w:rsidRPr="004F1EC1" w:rsidRDefault="006639CB" w:rsidP="004F1EC1">
      <w:pPr>
        <w:spacing w:line="360" w:lineRule="auto"/>
        <w:jc w:val="center"/>
        <w:rPr>
          <w:rFonts w:ascii="Times New Roman" w:hAnsi="Times New Roman"/>
          <w:b/>
          <w:sz w:val="32"/>
        </w:rPr>
      </w:pPr>
      <w:r w:rsidRPr="004F1EC1">
        <w:rPr>
          <w:rFonts w:ascii="Times New Roman" w:hAnsi="Times New Roman"/>
          <w:b/>
          <w:sz w:val="32"/>
        </w:rPr>
        <w:t>Edizione 2024</w:t>
      </w:r>
    </w:p>
    <w:p w:rsidR="00FF6BDE" w:rsidRPr="003F6D44" w:rsidRDefault="00FF6BDE" w:rsidP="003F6D44">
      <w:pPr>
        <w:spacing w:line="360" w:lineRule="auto"/>
        <w:jc w:val="both"/>
        <w:rPr>
          <w:rFonts w:ascii="Times New Roman" w:hAnsi="Times New Roman"/>
          <w:b/>
        </w:rPr>
      </w:pPr>
    </w:p>
    <w:p w:rsidR="00FF6BDE" w:rsidRPr="003F6D44" w:rsidRDefault="00FF6BDE" w:rsidP="003F6D44">
      <w:pPr>
        <w:spacing w:line="360" w:lineRule="auto"/>
        <w:jc w:val="both"/>
        <w:rPr>
          <w:rFonts w:ascii="Times New Roman" w:hAnsi="Times New Roman"/>
          <w:b/>
        </w:rPr>
      </w:pPr>
    </w:p>
    <w:p w:rsidR="00FF6BDE" w:rsidRPr="003F6D44" w:rsidRDefault="00FF6BDE" w:rsidP="003F6D44">
      <w:pPr>
        <w:tabs>
          <w:tab w:val="left" w:pos="5670"/>
        </w:tabs>
        <w:spacing w:line="360" w:lineRule="auto"/>
        <w:jc w:val="both"/>
        <w:rPr>
          <w:rFonts w:ascii="Times New Roman" w:hAnsi="Times New Roman"/>
          <w:b/>
        </w:rPr>
      </w:pPr>
    </w:p>
    <w:p w:rsidR="00FF6BDE" w:rsidRPr="003F6D44" w:rsidRDefault="00770A13" w:rsidP="004F1EC1">
      <w:pPr>
        <w:pStyle w:val="Pidipagina"/>
        <w:spacing w:line="360" w:lineRule="auto"/>
        <w:ind w:right="360"/>
        <w:jc w:val="center"/>
        <w:rPr>
          <w:rFonts w:ascii="Times New Roman" w:hAnsi="Times New Roman"/>
          <w:lang w:eastAsia="it-IT"/>
        </w:rPr>
      </w:pPr>
      <w:r w:rsidRPr="003F6D44">
        <w:rPr>
          <w:rFonts w:ascii="Times New Roman" w:hAnsi="Times New Roman"/>
          <w:b/>
          <w:noProof/>
          <w:lang w:eastAsia="it-IT"/>
        </w:rPr>
        <w:drawing>
          <wp:inline distT="0" distB="0" distL="0" distR="0">
            <wp:extent cx="4638040" cy="3228975"/>
            <wp:effectExtent l="0" t="0" r="0" b="0"/>
            <wp:docPr id="1026" name="Immagine 22"/>
            <wp:cNvGraphicFramePr/>
            <a:graphic xmlns:a="http://schemas.openxmlformats.org/drawingml/2006/main">
              <a:graphicData uri="http://schemas.openxmlformats.org/drawingml/2006/picture">
                <pic:pic xmlns:pic="http://schemas.openxmlformats.org/drawingml/2006/picture">
                  <pic:nvPicPr>
                    <pic:cNvPr id="1026" name="Immagine 22"/>
                    <pic:cNvPicPr/>
                  </pic:nvPicPr>
                  <pic:blipFill>
                    <a:blip r:embed="rId26" cstate="print"/>
                    <a:srcRect/>
                    <a:stretch>
                      <a:fillRect/>
                    </a:stretch>
                  </pic:blipFill>
                  <pic:spPr>
                    <a:xfrm>
                      <a:off x="0" y="0"/>
                      <a:ext cx="4638509" cy="3229251"/>
                    </a:xfrm>
                    <a:prstGeom prst="rect">
                      <a:avLst/>
                    </a:prstGeom>
                  </pic:spPr>
                </pic:pic>
              </a:graphicData>
            </a:graphic>
          </wp:inline>
        </w:drawing>
      </w:r>
    </w:p>
    <w:p w:rsidR="00FF6BDE" w:rsidRPr="003F6D44" w:rsidRDefault="00FF6BDE" w:rsidP="003F6D44">
      <w:pPr>
        <w:pStyle w:val="Pidipagina"/>
        <w:spacing w:line="360" w:lineRule="auto"/>
        <w:ind w:right="360"/>
        <w:jc w:val="both"/>
        <w:rPr>
          <w:rFonts w:ascii="Times New Roman" w:hAnsi="Times New Roman"/>
          <w:lang w:eastAsia="it-IT"/>
        </w:rPr>
      </w:pPr>
    </w:p>
    <w:p w:rsidR="00FF6BDE" w:rsidRPr="003F6D44" w:rsidRDefault="00FF6BDE" w:rsidP="003F6D44">
      <w:pPr>
        <w:pStyle w:val="Pidipagina"/>
        <w:spacing w:line="360" w:lineRule="auto"/>
        <w:ind w:right="360"/>
        <w:jc w:val="both"/>
        <w:rPr>
          <w:rFonts w:ascii="Times New Roman" w:hAnsi="Times New Roman"/>
          <w:lang w:eastAsia="it-IT"/>
        </w:rPr>
      </w:pPr>
    </w:p>
    <w:p w:rsidR="00FF6BDE" w:rsidRPr="003F6D44" w:rsidRDefault="00FF6BDE" w:rsidP="003F6D44">
      <w:pPr>
        <w:pStyle w:val="Pidipagina"/>
        <w:spacing w:line="360" w:lineRule="auto"/>
        <w:ind w:right="360"/>
        <w:jc w:val="both"/>
        <w:rPr>
          <w:rFonts w:ascii="Times New Roman" w:hAnsi="Times New Roman"/>
          <w:lang w:eastAsia="it-IT"/>
        </w:rPr>
      </w:pPr>
    </w:p>
    <w:p w:rsidR="00FF6BDE" w:rsidRPr="003F6D44" w:rsidRDefault="00FF6BDE" w:rsidP="003F6D44">
      <w:pPr>
        <w:pStyle w:val="Pidipagina"/>
        <w:spacing w:line="360" w:lineRule="auto"/>
        <w:ind w:right="360"/>
        <w:jc w:val="both"/>
        <w:rPr>
          <w:rFonts w:ascii="Times New Roman" w:hAnsi="Times New Roman"/>
          <w:lang w:eastAsia="it-IT"/>
        </w:rPr>
      </w:pPr>
    </w:p>
    <w:p w:rsidR="00FF6BDE" w:rsidRPr="003F6D44" w:rsidRDefault="00770A13" w:rsidP="003F6D44">
      <w:pPr>
        <w:pStyle w:val="Pidipagina"/>
        <w:spacing w:line="360" w:lineRule="auto"/>
        <w:ind w:right="360"/>
        <w:jc w:val="both"/>
        <w:rPr>
          <w:rFonts w:ascii="Times New Roman" w:hAnsi="Times New Roman"/>
        </w:rPr>
      </w:pPr>
      <w:r w:rsidRPr="003F6D44">
        <w:rPr>
          <w:rFonts w:ascii="Times New Roman" w:hAnsi="Times New Roman"/>
          <w:lang w:eastAsia="it-IT"/>
        </w:rPr>
        <w:lastRenderedPageBreak/>
        <w:t xml:space="preserve">In tabella 1 sono riportate le figure professionali ed unità Operative Complesse (UOC) o Semplici (UO) deputate all’accoglienza, Presa in Carico ed Assistenza e che costituiscono il </w:t>
      </w:r>
      <w:r w:rsidRPr="003F6D44">
        <w:rPr>
          <w:rFonts w:ascii="Times New Roman" w:hAnsi="Times New Roman"/>
          <w:b/>
          <w:lang w:eastAsia="it-IT"/>
        </w:rPr>
        <w:t>GOM</w:t>
      </w:r>
      <w:r w:rsidRPr="003F6D44">
        <w:rPr>
          <w:rFonts w:ascii="Times New Roman" w:hAnsi="Times New Roman"/>
          <w:lang w:eastAsia="it-IT"/>
        </w:rPr>
        <w:t xml:space="preserve"> </w:t>
      </w:r>
      <w:r w:rsidRPr="003F6D44">
        <w:rPr>
          <w:rFonts w:ascii="Times New Roman" w:hAnsi="Times New Roman"/>
          <w:b/>
          <w:lang w:eastAsia="it-IT"/>
        </w:rPr>
        <w:t>TIROIDE</w:t>
      </w:r>
      <w:r w:rsidRPr="003F6D44">
        <w:rPr>
          <w:rFonts w:ascii="Times New Roman" w:hAnsi="Times New Roman"/>
        </w:rPr>
        <w:t xml:space="preserve"> </w:t>
      </w:r>
    </w:p>
    <w:tbl>
      <w:tblPr>
        <w:tblW w:w="93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225"/>
        <w:gridCol w:w="3391"/>
        <w:gridCol w:w="3691"/>
      </w:tblGrid>
      <w:tr w:rsidR="00FF6BDE" w:rsidRPr="005B1DA1" w:rsidTr="004F1EC1">
        <w:trPr>
          <w:trHeight w:val="514"/>
        </w:trPr>
        <w:tc>
          <w:tcPr>
            <w:tcW w:w="2225"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F6BDE" w:rsidRPr="005B1DA1" w:rsidRDefault="00770A13" w:rsidP="004F1EC1">
            <w:pPr>
              <w:keepNext/>
              <w:jc w:val="both"/>
              <w:rPr>
                <w:rFonts w:ascii="Times New Roman" w:eastAsia="Arial Unicode MS" w:hAnsi="Times New Roman"/>
                <w:color w:val="000000"/>
                <w:sz w:val="22"/>
              </w:rPr>
            </w:pPr>
            <w:bookmarkStart w:id="1" w:name="_Hlk70016194"/>
            <w:r w:rsidRPr="005B1DA1">
              <w:rPr>
                <w:rFonts w:ascii="Times New Roman" w:eastAsia="Arial Unicode MS" w:hAnsi="Times New Roman"/>
                <w:color w:val="000000"/>
                <w:sz w:val="22"/>
              </w:rPr>
              <w:t>ACCOGLIENZA</w:t>
            </w:r>
          </w:p>
        </w:tc>
        <w:tc>
          <w:tcPr>
            <w:tcW w:w="339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F6BDE" w:rsidRPr="005B1DA1" w:rsidRDefault="00770A13" w:rsidP="004F1EC1">
            <w:pPr>
              <w:keepNext/>
              <w:jc w:val="both"/>
              <w:rPr>
                <w:rFonts w:ascii="Times New Roman" w:eastAsia="Arial Unicode MS" w:hAnsi="Times New Roman"/>
                <w:color w:val="000000"/>
                <w:sz w:val="22"/>
              </w:rPr>
            </w:pPr>
            <w:r w:rsidRPr="005B1DA1">
              <w:rPr>
                <w:rFonts w:ascii="Times New Roman" w:eastAsia="Arial Unicode MS" w:hAnsi="Times New Roman"/>
                <w:color w:val="000000"/>
                <w:sz w:val="22"/>
              </w:rPr>
              <w:t>Case Manager</w:t>
            </w:r>
          </w:p>
          <w:p w:rsidR="00FF6BDE" w:rsidRPr="005B1DA1" w:rsidRDefault="00770A13" w:rsidP="004F1EC1">
            <w:pPr>
              <w:keepNext/>
              <w:jc w:val="both"/>
              <w:rPr>
                <w:rFonts w:ascii="Times New Roman" w:eastAsia="Arial Unicode MS" w:hAnsi="Times New Roman"/>
                <w:color w:val="000000"/>
                <w:sz w:val="22"/>
              </w:rPr>
            </w:pPr>
            <w:r w:rsidRPr="005B1DA1">
              <w:rPr>
                <w:rFonts w:ascii="Times New Roman" w:eastAsia="Arial Unicode MS" w:hAnsi="Times New Roman"/>
                <w:color w:val="000000"/>
                <w:sz w:val="22"/>
                <w:lang w:val="da-DK"/>
              </w:rPr>
              <w:t xml:space="preserve">Medico                                                </w:t>
            </w:r>
          </w:p>
        </w:tc>
        <w:tc>
          <w:tcPr>
            <w:tcW w:w="369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F6BDE" w:rsidRPr="005B1DA1" w:rsidRDefault="00770A13" w:rsidP="004F1EC1">
            <w:pPr>
              <w:keepNext/>
              <w:jc w:val="both"/>
              <w:rPr>
                <w:rFonts w:ascii="Times New Roman" w:eastAsia="Arial Unicode MS" w:hAnsi="Times New Roman"/>
                <w:color w:val="000000"/>
                <w:sz w:val="22"/>
              </w:rPr>
            </w:pPr>
            <w:r w:rsidRPr="005B1DA1">
              <w:rPr>
                <w:rFonts w:ascii="Times New Roman" w:eastAsia="Arial Unicode MS" w:hAnsi="Times New Roman"/>
                <w:color w:val="000000"/>
                <w:sz w:val="22"/>
              </w:rPr>
              <w:t>Identificato nell’Ambito del GOM</w:t>
            </w:r>
          </w:p>
          <w:p w:rsidR="00FF6BDE" w:rsidRPr="005B1DA1" w:rsidRDefault="00770A13" w:rsidP="004F1EC1">
            <w:pPr>
              <w:keepNext/>
              <w:jc w:val="both"/>
              <w:rPr>
                <w:rFonts w:ascii="Times New Roman" w:eastAsia="Arial Unicode MS" w:hAnsi="Times New Roman"/>
                <w:color w:val="000000"/>
                <w:sz w:val="22"/>
              </w:rPr>
            </w:pPr>
            <w:r w:rsidRPr="005B1DA1">
              <w:rPr>
                <w:rFonts w:ascii="Times New Roman" w:eastAsia="Arial Unicode MS" w:hAnsi="Times New Roman"/>
                <w:color w:val="000000"/>
                <w:sz w:val="22"/>
              </w:rPr>
              <w:t>Medico specialista di una delle unità afferenti al GOM</w:t>
            </w:r>
          </w:p>
        </w:tc>
      </w:tr>
      <w:tr w:rsidR="004A2366" w:rsidRPr="005B1DA1" w:rsidTr="004F1EC1">
        <w:trPr>
          <w:trHeight w:val="514"/>
        </w:trPr>
        <w:tc>
          <w:tcPr>
            <w:tcW w:w="2225" w:type="dxa"/>
            <w:vMerge/>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4A2366" w:rsidRPr="005B1DA1" w:rsidRDefault="004A2366" w:rsidP="004F1EC1">
            <w:pPr>
              <w:keepNext/>
              <w:jc w:val="both"/>
              <w:rPr>
                <w:rFonts w:ascii="Times New Roman" w:eastAsia="Arial Unicode MS" w:hAnsi="Times New Roman"/>
                <w:color w:val="000000"/>
                <w:sz w:val="22"/>
              </w:rPr>
            </w:pPr>
          </w:p>
        </w:tc>
        <w:tc>
          <w:tcPr>
            <w:tcW w:w="339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4A2366" w:rsidRPr="005B1DA1" w:rsidRDefault="004A2366" w:rsidP="004F1EC1">
            <w:pPr>
              <w:keepNext/>
              <w:jc w:val="both"/>
              <w:rPr>
                <w:rFonts w:ascii="Times New Roman" w:eastAsia="Arial Unicode MS" w:hAnsi="Times New Roman"/>
                <w:color w:val="000000"/>
                <w:sz w:val="22"/>
              </w:rPr>
            </w:pPr>
            <w:r w:rsidRPr="005B1DA1">
              <w:rPr>
                <w:rFonts w:ascii="Times New Roman" w:eastAsia="Arial Unicode MS" w:hAnsi="Times New Roman"/>
                <w:color w:val="000000"/>
                <w:sz w:val="22"/>
              </w:rPr>
              <w:t>Medico di Medicina Generale</w:t>
            </w:r>
          </w:p>
        </w:tc>
        <w:tc>
          <w:tcPr>
            <w:tcW w:w="369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4A2366" w:rsidRPr="005B1DA1" w:rsidRDefault="004A2366" w:rsidP="004F1EC1">
            <w:pPr>
              <w:keepNext/>
              <w:rPr>
                <w:rFonts w:ascii="Times New Roman" w:eastAsia="Arial Unicode MS" w:hAnsi="Times New Roman"/>
                <w:color w:val="000000"/>
                <w:sz w:val="22"/>
              </w:rPr>
            </w:pPr>
            <w:r w:rsidRPr="005B1DA1">
              <w:rPr>
                <w:rFonts w:ascii="Times New Roman" w:eastAsia="Arial Unicode MS" w:hAnsi="Times New Roman"/>
                <w:color w:val="000000"/>
                <w:sz w:val="22"/>
              </w:rPr>
              <w:t>Segnalazione dell’assistito e partecipazione al GOM</w:t>
            </w:r>
          </w:p>
        </w:tc>
      </w:tr>
      <w:tr w:rsidR="00FF6BDE" w:rsidRPr="005B1DA1" w:rsidTr="004F1EC1">
        <w:trPr>
          <w:trHeight w:val="220"/>
        </w:trPr>
        <w:tc>
          <w:tcPr>
            <w:tcW w:w="2225" w:type="dxa"/>
            <w:vMerge/>
            <w:tcBorders>
              <w:top w:val="single" w:sz="4" w:space="0" w:color="000000"/>
              <w:left w:val="nil"/>
              <w:bottom w:val="single" w:sz="4" w:space="0" w:color="000000"/>
              <w:right w:val="nil"/>
            </w:tcBorders>
            <w:shd w:val="clear" w:color="auto" w:fill="auto"/>
            <w:vAlign w:val="center"/>
          </w:tcPr>
          <w:p w:rsidR="00FF6BDE" w:rsidRPr="005B1DA1" w:rsidRDefault="00FF6BDE" w:rsidP="004F1EC1">
            <w:pPr>
              <w:jc w:val="both"/>
              <w:rPr>
                <w:rFonts w:ascii="Times New Roman" w:eastAsia="Arial Unicode MS" w:hAnsi="Times New Roman"/>
                <w:color w:val="000000"/>
                <w:sz w:val="22"/>
              </w:rPr>
            </w:pPr>
          </w:p>
        </w:tc>
        <w:tc>
          <w:tcPr>
            <w:tcW w:w="339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F6BDE" w:rsidRPr="005B1DA1" w:rsidRDefault="00FF6BDE" w:rsidP="004F1EC1">
            <w:pPr>
              <w:keepNext/>
              <w:jc w:val="both"/>
              <w:rPr>
                <w:rFonts w:ascii="Times New Roman" w:eastAsia="Arial Unicode MS" w:hAnsi="Times New Roman"/>
                <w:color w:val="000000"/>
                <w:sz w:val="22"/>
              </w:rPr>
            </w:pPr>
          </w:p>
        </w:tc>
        <w:tc>
          <w:tcPr>
            <w:tcW w:w="369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F6BDE" w:rsidRPr="005B1DA1" w:rsidRDefault="00770A13" w:rsidP="004F1EC1">
            <w:pPr>
              <w:keepNext/>
              <w:jc w:val="both"/>
              <w:rPr>
                <w:rFonts w:ascii="Times New Roman" w:eastAsia="Arial Unicode MS" w:hAnsi="Times New Roman"/>
                <w:color w:val="000000"/>
                <w:sz w:val="22"/>
              </w:rPr>
            </w:pPr>
            <w:r w:rsidRPr="005B1DA1">
              <w:rPr>
                <w:rFonts w:ascii="Times New Roman" w:eastAsia="Arial Unicode MS" w:hAnsi="Times New Roman"/>
                <w:color w:val="000000"/>
                <w:sz w:val="22"/>
              </w:rPr>
              <w:t xml:space="preserve">Servizio civile </w:t>
            </w:r>
          </w:p>
          <w:p w:rsidR="00FF6BDE" w:rsidRPr="005B1DA1" w:rsidRDefault="00770A13" w:rsidP="004F1EC1">
            <w:pPr>
              <w:keepNext/>
              <w:jc w:val="both"/>
              <w:rPr>
                <w:rFonts w:ascii="Times New Roman" w:eastAsia="Arial Unicode MS" w:hAnsi="Times New Roman"/>
                <w:color w:val="000000"/>
                <w:sz w:val="22"/>
              </w:rPr>
            </w:pPr>
            <w:r w:rsidRPr="005B1DA1">
              <w:rPr>
                <w:rFonts w:ascii="Times New Roman" w:eastAsia="Arial Unicode MS" w:hAnsi="Times New Roman"/>
                <w:color w:val="000000"/>
                <w:sz w:val="22"/>
              </w:rPr>
              <w:t>Associazioni volontariato</w:t>
            </w:r>
          </w:p>
        </w:tc>
      </w:tr>
      <w:tr w:rsidR="00FF6BDE" w:rsidRPr="005B1DA1" w:rsidTr="004F1EC1">
        <w:trPr>
          <w:trHeight w:val="469"/>
        </w:trPr>
        <w:tc>
          <w:tcPr>
            <w:tcW w:w="222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F6BDE" w:rsidRPr="005B1DA1" w:rsidRDefault="00770A13" w:rsidP="004F1EC1">
            <w:pPr>
              <w:keepNext/>
              <w:jc w:val="both"/>
              <w:rPr>
                <w:rFonts w:ascii="Times New Roman" w:eastAsia="Arial Unicode MS" w:hAnsi="Times New Roman"/>
                <w:color w:val="000000"/>
                <w:sz w:val="22"/>
              </w:rPr>
            </w:pPr>
            <w:r w:rsidRPr="005B1DA1">
              <w:rPr>
                <w:rFonts w:ascii="Times New Roman" w:eastAsia="Arial Unicode MS" w:hAnsi="Times New Roman"/>
                <w:color w:val="000000"/>
                <w:sz w:val="22"/>
              </w:rPr>
              <w:t>PRESA IN CARICO</w:t>
            </w:r>
          </w:p>
          <w:p w:rsidR="00FF6BDE" w:rsidRPr="005B1DA1" w:rsidRDefault="00770A13" w:rsidP="004F1EC1">
            <w:pPr>
              <w:keepNext/>
              <w:jc w:val="both"/>
              <w:rPr>
                <w:rFonts w:ascii="Times New Roman" w:eastAsia="Arial Unicode MS" w:hAnsi="Times New Roman"/>
                <w:color w:val="000000"/>
                <w:sz w:val="22"/>
              </w:rPr>
            </w:pPr>
            <w:r w:rsidRPr="005B1DA1">
              <w:rPr>
                <w:rFonts w:ascii="Times New Roman" w:eastAsia="Arial Unicode MS" w:hAnsi="Times New Roman"/>
                <w:color w:val="000000"/>
                <w:sz w:val="22"/>
              </w:rPr>
              <w:t>(Core Team)</w:t>
            </w:r>
          </w:p>
        </w:tc>
        <w:tc>
          <w:tcPr>
            <w:tcW w:w="339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B1DA1" w:rsidRPr="005B1DA1" w:rsidRDefault="00770A13" w:rsidP="005B1DA1">
            <w:pPr>
              <w:keepNext/>
              <w:rPr>
                <w:rFonts w:ascii="Times New Roman" w:eastAsia="Arial Unicode MS" w:hAnsi="Times New Roman"/>
                <w:color w:val="000000"/>
                <w:sz w:val="22"/>
              </w:rPr>
            </w:pPr>
            <w:r w:rsidRPr="005B1DA1">
              <w:rPr>
                <w:rFonts w:ascii="Times New Roman" w:eastAsia="Arial Unicode MS" w:hAnsi="Times New Roman"/>
                <w:color w:val="000000"/>
                <w:sz w:val="22"/>
                <w:lang w:val="da-DK"/>
              </w:rPr>
              <w:t>Oncologi Medici</w:t>
            </w:r>
            <w:r w:rsidR="005B1DA1" w:rsidRPr="005B1DA1">
              <w:rPr>
                <w:rFonts w:ascii="Times New Roman" w:eastAsia="Arial Unicode MS" w:hAnsi="Times New Roman"/>
                <w:color w:val="000000"/>
                <w:sz w:val="22"/>
                <w:lang w:val="da-DK"/>
              </w:rPr>
              <w:t>/</w:t>
            </w:r>
            <w:r w:rsidR="005B1DA1" w:rsidRPr="005B1DA1">
              <w:rPr>
                <w:rFonts w:ascii="Times New Roman" w:eastAsia="Arial Unicode MS" w:hAnsi="Times New Roman"/>
                <w:color w:val="000000"/>
                <w:sz w:val="22"/>
              </w:rPr>
              <w:t xml:space="preserve"> Endocrinologi/ Medici Nucleari</w:t>
            </w:r>
          </w:p>
          <w:p w:rsidR="00FF6BDE" w:rsidRPr="005B1DA1" w:rsidRDefault="00FF6BDE" w:rsidP="005B1DA1">
            <w:pPr>
              <w:keepNext/>
              <w:rPr>
                <w:rFonts w:ascii="Times New Roman" w:eastAsia="Arial Unicode MS" w:hAnsi="Times New Roman"/>
                <w:color w:val="000000"/>
                <w:sz w:val="22"/>
              </w:rPr>
            </w:pPr>
          </w:p>
          <w:p w:rsidR="005B1DA1" w:rsidRPr="005B1DA1" w:rsidRDefault="005B1DA1" w:rsidP="005B1DA1">
            <w:pPr>
              <w:keepNext/>
              <w:rPr>
                <w:rFonts w:ascii="Times New Roman" w:eastAsia="Arial Unicode MS" w:hAnsi="Times New Roman"/>
                <w:color w:val="000000"/>
                <w:sz w:val="22"/>
              </w:rPr>
            </w:pPr>
          </w:p>
          <w:p w:rsidR="00FF6BDE" w:rsidRPr="005B1DA1" w:rsidRDefault="00770A13" w:rsidP="005B1DA1">
            <w:pPr>
              <w:keepNext/>
              <w:rPr>
                <w:rFonts w:ascii="Times New Roman" w:eastAsia="Arial Unicode MS" w:hAnsi="Times New Roman"/>
                <w:color w:val="000000"/>
                <w:sz w:val="22"/>
              </w:rPr>
            </w:pPr>
            <w:r w:rsidRPr="005B1DA1">
              <w:rPr>
                <w:rFonts w:ascii="Times New Roman" w:eastAsia="Arial Unicode MS" w:hAnsi="Times New Roman"/>
                <w:color w:val="000000"/>
                <w:sz w:val="22"/>
              </w:rPr>
              <w:t>Chirurghi Oncologi</w:t>
            </w:r>
          </w:p>
          <w:p w:rsidR="00FF6BDE" w:rsidRPr="005B1DA1" w:rsidRDefault="00770A13" w:rsidP="005B1DA1">
            <w:pPr>
              <w:keepNext/>
              <w:rPr>
                <w:rFonts w:ascii="Times New Roman" w:eastAsia="Arial Unicode MS" w:hAnsi="Times New Roman"/>
                <w:color w:val="000000"/>
                <w:sz w:val="22"/>
              </w:rPr>
            </w:pPr>
            <w:r w:rsidRPr="005B1DA1">
              <w:rPr>
                <w:rFonts w:ascii="Times New Roman" w:eastAsia="Arial Unicode MS" w:hAnsi="Times New Roman"/>
                <w:color w:val="000000"/>
                <w:sz w:val="22"/>
              </w:rPr>
              <w:t>Radioterapisti</w:t>
            </w:r>
          </w:p>
          <w:p w:rsidR="00FF6BDE" w:rsidRPr="005B1DA1" w:rsidRDefault="00FF6BDE" w:rsidP="005B1DA1">
            <w:pPr>
              <w:keepNext/>
              <w:rPr>
                <w:rFonts w:ascii="Times New Roman" w:eastAsia="Arial Unicode MS" w:hAnsi="Times New Roman"/>
                <w:color w:val="000000"/>
                <w:sz w:val="22"/>
              </w:rPr>
            </w:pPr>
          </w:p>
        </w:tc>
        <w:tc>
          <w:tcPr>
            <w:tcW w:w="369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B1DA1" w:rsidRPr="005B1DA1" w:rsidRDefault="005B1DA1" w:rsidP="005B1DA1">
            <w:pPr>
              <w:keepNext/>
              <w:rPr>
                <w:rFonts w:ascii="Times New Roman" w:eastAsia="Arial Unicode MS" w:hAnsi="Times New Roman"/>
                <w:color w:val="000000"/>
                <w:sz w:val="22"/>
              </w:rPr>
            </w:pPr>
            <w:r w:rsidRPr="005B1DA1">
              <w:rPr>
                <w:rFonts w:ascii="Times New Roman" w:eastAsia="Arial Unicode MS" w:hAnsi="Times New Roman"/>
                <w:color w:val="000000"/>
                <w:sz w:val="22"/>
                <w:lang w:val="pt-PT"/>
              </w:rPr>
              <w:t>UOC Oncologia Medica/</w:t>
            </w:r>
            <w:r w:rsidRPr="005B1DA1">
              <w:rPr>
                <w:rFonts w:ascii="Times New Roman" w:eastAsia="Arial Unicode MS" w:hAnsi="Times New Roman"/>
                <w:color w:val="000000"/>
                <w:sz w:val="22"/>
              </w:rPr>
              <w:t xml:space="preserve"> UOC Endocrinologia/ UOC Medicina Nucleare</w:t>
            </w:r>
          </w:p>
          <w:p w:rsidR="00FF6BDE" w:rsidRPr="005B1DA1" w:rsidRDefault="00FF6BDE" w:rsidP="005B1DA1">
            <w:pPr>
              <w:keepNext/>
              <w:rPr>
                <w:rFonts w:ascii="Times New Roman" w:eastAsia="Arial Unicode MS" w:hAnsi="Times New Roman"/>
                <w:color w:val="000000"/>
                <w:sz w:val="22"/>
              </w:rPr>
            </w:pPr>
          </w:p>
          <w:p w:rsidR="00FF6BDE" w:rsidRPr="005B1DA1" w:rsidRDefault="00770A13" w:rsidP="005B1DA1">
            <w:pPr>
              <w:keepNext/>
              <w:rPr>
                <w:rFonts w:ascii="Times New Roman" w:eastAsia="Arial Unicode MS" w:hAnsi="Times New Roman"/>
                <w:color w:val="000000"/>
                <w:sz w:val="22"/>
              </w:rPr>
            </w:pPr>
            <w:r w:rsidRPr="005B1DA1">
              <w:rPr>
                <w:rFonts w:ascii="Times New Roman" w:eastAsia="Arial Unicode MS" w:hAnsi="Times New Roman"/>
                <w:color w:val="000000"/>
                <w:sz w:val="22"/>
              </w:rPr>
              <w:t xml:space="preserve">UOC Chirurgia </w:t>
            </w:r>
          </w:p>
          <w:p w:rsidR="00FF6BDE" w:rsidRPr="005B1DA1" w:rsidRDefault="00770A13" w:rsidP="005B1DA1">
            <w:pPr>
              <w:keepNext/>
              <w:rPr>
                <w:rFonts w:ascii="Times New Roman" w:eastAsia="Arial Unicode MS" w:hAnsi="Times New Roman"/>
                <w:color w:val="000000"/>
                <w:sz w:val="22"/>
              </w:rPr>
            </w:pPr>
            <w:r w:rsidRPr="005B1DA1">
              <w:rPr>
                <w:rFonts w:ascii="Times New Roman" w:eastAsia="Arial Unicode MS" w:hAnsi="Times New Roman"/>
                <w:color w:val="000000"/>
                <w:sz w:val="22"/>
              </w:rPr>
              <w:t xml:space="preserve">UOC Radioterapisti </w:t>
            </w:r>
          </w:p>
          <w:p w:rsidR="00FF6BDE" w:rsidRPr="005B1DA1" w:rsidRDefault="00770A13" w:rsidP="005B1DA1">
            <w:pPr>
              <w:keepNext/>
              <w:rPr>
                <w:rFonts w:ascii="Times New Roman" w:eastAsia="Arial Unicode MS" w:hAnsi="Times New Roman"/>
                <w:color w:val="000000"/>
                <w:sz w:val="22"/>
              </w:rPr>
            </w:pPr>
            <w:r w:rsidRPr="005B1DA1">
              <w:rPr>
                <w:rFonts w:ascii="Times New Roman" w:eastAsia="Arial Unicode MS" w:hAnsi="Times New Roman"/>
                <w:color w:val="000000"/>
                <w:sz w:val="22"/>
              </w:rPr>
              <w:t>Thyroid Unit</w:t>
            </w:r>
          </w:p>
          <w:p w:rsidR="00FF6BDE" w:rsidRPr="005B1DA1" w:rsidRDefault="00FF6BDE" w:rsidP="005B1DA1">
            <w:pPr>
              <w:keepNext/>
              <w:rPr>
                <w:rFonts w:ascii="Times New Roman" w:eastAsia="Arial Unicode MS" w:hAnsi="Times New Roman"/>
                <w:color w:val="000000"/>
                <w:sz w:val="22"/>
              </w:rPr>
            </w:pPr>
          </w:p>
        </w:tc>
      </w:tr>
      <w:tr w:rsidR="00FF6BDE" w:rsidRPr="005B1DA1" w:rsidTr="004F1EC1">
        <w:trPr>
          <w:trHeight w:val="3199"/>
        </w:trPr>
        <w:tc>
          <w:tcPr>
            <w:tcW w:w="2225"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F6BDE" w:rsidRPr="005B1DA1" w:rsidRDefault="00770A13" w:rsidP="004F1EC1">
            <w:pPr>
              <w:keepNext/>
              <w:jc w:val="both"/>
              <w:rPr>
                <w:rFonts w:ascii="Times New Roman" w:eastAsia="Arial Unicode MS" w:hAnsi="Times New Roman"/>
                <w:color w:val="000000"/>
                <w:sz w:val="22"/>
              </w:rPr>
            </w:pPr>
            <w:r w:rsidRPr="005B1DA1">
              <w:rPr>
                <w:rFonts w:ascii="Times New Roman" w:eastAsia="Arial Unicode MS" w:hAnsi="Times New Roman"/>
                <w:color w:val="000000"/>
                <w:sz w:val="22"/>
              </w:rPr>
              <w:t>ASSISTENZA</w:t>
            </w:r>
          </w:p>
          <w:p w:rsidR="00FF6BDE" w:rsidRPr="005B1DA1" w:rsidRDefault="00770A13" w:rsidP="004F1EC1">
            <w:pPr>
              <w:keepNext/>
              <w:jc w:val="both"/>
              <w:rPr>
                <w:rFonts w:ascii="Times New Roman" w:eastAsia="Arial Unicode MS" w:hAnsi="Times New Roman"/>
                <w:color w:val="000000"/>
                <w:sz w:val="22"/>
              </w:rPr>
            </w:pPr>
            <w:r w:rsidRPr="005B1DA1">
              <w:rPr>
                <w:rFonts w:ascii="Times New Roman" w:eastAsia="Arial Unicode MS" w:hAnsi="Times New Roman"/>
                <w:color w:val="000000"/>
                <w:sz w:val="22"/>
              </w:rPr>
              <w:t>(Extended Team)</w:t>
            </w:r>
          </w:p>
          <w:p w:rsidR="00FF6BDE" w:rsidRPr="005B1DA1" w:rsidRDefault="00FF6BDE" w:rsidP="004F1EC1">
            <w:pPr>
              <w:keepNext/>
              <w:jc w:val="both"/>
              <w:rPr>
                <w:rFonts w:ascii="Times New Roman" w:eastAsia="Arial Unicode MS" w:hAnsi="Times New Roman"/>
                <w:color w:val="000000"/>
                <w:sz w:val="22"/>
              </w:rPr>
            </w:pPr>
          </w:p>
          <w:p w:rsidR="00FF6BDE" w:rsidRPr="005B1DA1" w:rsidRDefault="00FF6BDE" w:rsidP="004F1EC1">
            <w:pPr>
              <w:keepNext/>
              <w:jc w:val="both"/>
              <w:rPr>
                <w:rFonts w:ascii="Times New Roman" w:eastAsia="Arial Unicode MS" w:hAnsi="Times New Roman"/>
                <w:color w:val="000000"/>
                <w:sz w:val="22"/>
              </w:rPr>
            </w:pPr>
          </w:p>
          <w:p w:rsidR="00FF6BDE" w:rsidRPr="005B1DA1" w:rsidRDefault="00FF6BDE" w:rsidP="004F1EC1">
            <w:pPr>
              <w:keepNext/>
              <w:jc w:val="both"/>
              <w:rPr>
                <w:rFonts w:ascii="Times New Roman" w:eastAsia="Arial Unicode MS" w:hAnsi="Times New Roman"/>
                <w:i/>
                <w:iCs/>
                <w:color w:val="000000"/>
                <w:sz w:val="22"/>
              </w:rPr>
            </w:pPr>
          </w:p>
          <w:p w:rsidR="00FF6BDE" w:rsidRPr="005B1DA1" w:rsidRDefault="00770A13" w:rsidP="004F1EC1">
            <w:pPr>
              <w:keepNext/>
              <w:jc w:val="both"/>
              <w:rPr>
                <w:rFonts w:ascii="Times New Roman" w:eastAsia="Arial Unicode MS" w:hAnsi="Times New Roman"/>
                <w:color w:val="000000"/>
                <w:sz w:val="22"/>
              </w:rPr>
            </w:pPr>
            <w:r w:rsidRPr="005B1DA1">
              <w:rPr>
                <w:rFonts w:ascii="Times New Roman" w:eastAsia="Arial Unicode MS" w:hAnsi="Times New Roman"/>
                <w:i/>
                <w:iCs/>
                <w:color w:val="000000"/>
                <w:sz w:val="22"/>
              </w:rPr>
              <w:t xml:space="preserve"> </w:t>
            </w:r>
          </w:p>
        </w:tc>
        <w:tc>
          <w:tcPr>
            <w:tcW w:w="339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lang w:val="da-DK"/>
              </w:rPr>
              <w:t>Oncologi Medici</w:t>
            </w:r>
          </w:p>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Chirurghi Oncologi</w:t>
            </w:r>
          </w:p>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Medici Nucleari</w:t>
            </w:r>
          </w:p>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Endocrinologo</w:t>
            </w:r>
          </w:p>
          <w:p w:rsidR="00FF6BDE" w:rsidRPr="005B1DA1" w:rsidRDefault="00770A13" w:rsidP="002F603D">
            <w:pPr>
              <w:keepNext/>
              <w:rPr>
                <w:rFonts w:ascii="Times New Roman" w:eastAsia="Arial Unicode MS" w:hAnsi="Times New Roman"/>
                <w:color w:val="000000"/>
                <w:sz w:val="22"/>
                <w:lang w:val="da-DK"/>
              </w:rPr>
            </w:pPr>
            <w:r w:rsidRPr="005B1DA1">
              <w:rPr>
                <w:rFonts w:ascii="Times New Roman" w:eastAsia="Arial Unicode MS" w:hAnsi="Times New Roman"/>
                <w:color w:val="000000"/>
                <w:sz w:val="22"/>
              </w:rPr>
              <w:t>Radioterapisti</w:t>
            </w:r>
          </w:p>
          <w:p w:rsidR="00FF6BDE" w:rsidRPr="005B1DA1" w:rsidRDefault="00770A13" w:rsidP="002F603D">
            <w:pPr>
              <w:keepNext/>
              <w:rPr>
                <w:rFonts w:ascii="Times New Roman" w:eastAsia="Arial Unicode MS" w:hAnsi="Times New Roman"/>
                <w:color w:val="000000"/>
                <w:sz w:val="22"/>
                <w:lang w:val="da-DK"/>
              </w:rPr>
            </w:pPr>
            <w:r w:rsidRPr="005B1DA1">
              <w:rPr>
                <w:rFonts w:ascii="Times New Roman" w:eastAsia="Arial Unicode MS" w:hAnsi="Times New Roman"/>
                <w:color w:val="000000"/>
                <w:sz w:val="22"/>
                <w:lang w:val="da-DK"/>
              </w:rPr>
              <w:t>Ortopedici</w:t>
            </w:r>
          </w:p>
          <w:p w:rsidR="00FF6BDE" w:rsidRPr="005B1DA1" w:rsidRDefault="00770A13" w:rsidP="002F603D">
            <w:pPr>
              <w:keepNext/>
              <w:rPr>
                <w:rFonts w:ascii="Times New Roman" w:eastAsia="Arial Unicode MS" w:hAnsi="Times New Roman"/>
                <w:color w:val="000000"/>
                <w:sz w:val="22"/>
                <w:lang w:val="da-DK"/>
              </w:rPr>
            </w:pPr>
            <w:r w:rsidRPr="005B1DA1">
              <w:rPr>
                <w:rFonts w:ascii="Times New Roman" w:eastAsia="Arial Unicode MS" w:hAnsi="Times New Roman"/>
                <w:color w:val="000000"/>
                <w:sz w:val="22"/>
                <w:lang w:val="da-DK"/>
              </w:rPr>
              <w:t>Genetisti</w:t>
            </w:r>
          </w:p>
          <w:p w:rsidR="00FF6BDE" w:rsidRPr="005B1DA1" w:rsidRDefault="00770A13" w:rsidP="002F603D">
            <w:pPr>
              <w:keepNext/>
              <w:rPr>
                <w:rFonts w:ascii="Times New Roman" w:eastAsia="Arial Unicode MS" w:hAnsi="Times New Roman"/>
                <w:color w:val="000000"/>
                <w:sz w:val="22"/>
                <w:lang w:val="da-DK"/>
              </w:rPr>
            </w:pPr>
            <w:r w:rsidRPr="005B1DA1">
              <w:rPr>
                <w:rFonts w:ascii="Times New Roman" w:eastAsia="Arial Unicode MS" w:hAnsi="Times New Roman"/>
                <w:color w:val="000000"/>
                <w:sz w:val="22"/>
                <w:lang w:val="da-DK"/>
              </w:rPr>
              <w:t>Patologi clinici</w:t>
            </w:r>
          </w:p>
          <w:p w:rsidR="00FF6BDE" w:rsidRPr="005B1DA1" w:rsidRDefault="00770A13" w:rsidP="002F603D">
            <w:pPr>
              <w:keepNext/>
              <w:rPr>
                <w:rFonts w:ascii="Times New Roman" w:eastAsia="Arial Unicode MS" w:hAnsi="Times New Roman"/>
                <w:color w:val="000000"/>
                <w:sz w:val="22"/>
                <w:lang w:val="da-DK"/>
              </w:rPr>
            </w:pPr>
            <w:r w:rsidRPr="005B1DA1">
              <w:rPr>
                <w:rFonts w:ascii="Times New Roman" w:eastAsia="Arial Unicode MS" w:hAnsi="Times New Roman"/>
                <w:color w:val="000000"/>
                <w:sz w:val="22"/>
                <w:lang w:val="da-DK"/>
              </w:rPr>
              <w:t>Biologi Molecolari</w:t>
            </w:r>
          </w:p>
          <w:p w:rsidR="00FF6BDE" w:rsidRPr="005B1DA1" w:rsidRDefault="00770A13" w:rsidP="002F603D">
            <w:pPr>
              <w:keepNext/>
              <w:rPr>
                <w:rFonts w:ascii="Times New Roman" w:eastAsia="Arial Unicode MS" w:hAnsi="Times New Roman"/>
                <w:color w:val="000000"/>
                <w:sz w:val="22"/>
                <w:lang w:val="da-DK"/>
              </w:rPr>
            </w:pPr>
            <w:r w:rsidRPr="005B1DA1">
              <w:rPr>
                <w:rFonts w:ascii="Times New Roman" w:eastAsia="Arial Unicode MS" w:hAnsi="Times New Roman"/>
                <w:color w:val="000000"/>
                <w:sz w:val="22"/>
                <w:lang w:val="da-DK"/>
              </w:rPr>
              <w:t>Anatomopatologi</w:t>
            </w:r>
          </w:p>
          <w:p w:rsidR="00FF6BDE" w:rsidRPr="005B1DA1" w:rsidRDefault="00770A13" w:rsidP="002F603D">
            <w:pPr>
              <w:keepNext/>
              <w:rPr>
                <w:rFonts w:ascii="Times New Roman" w:eastAsia="Arial Unicode MS" w:hAnsi="Times New Roman"/>
                <w:color w:val="000000"/>
                <w:sz w:val="22"/>
                <w:lang w:val="da-DK"/>
              </w:rPr>
            </w:pPr>
            <w:r w:rsidRPr="005B1DA1">
              <w:rPr>
                <w:rFonts w:ascii="Times New Roman" w:eastAsia="Arial Unicode MS" w:hAnsi="Times New Roman"/>
                <w:color w:val="000000"/>
                <w:sz w:val="22"/>
                <w:lang w:val="da-DK"/>
              </w:rPr>
              <w:t>Otorinolaringoiatri</w:t>
            </w:r>
          </w:p>
          <w:p w:rsidR="00FF6BDE" w:rsidRPr="005B1DA1" w:rsidRDefault="00770A13" w:rsidP="002F603D">
            <w:pPr>
              <w:keepNext/>
              <w:rPr>
                <w:rFonts w:ascii="Times New Roman" w:eastAsia="Arial Unicode MS" w:hAnsi="Times New Roman"/>
                <w:color w:val="000000"/>
                <w:sz w:val="22"/>
                <w:lang w:val="da-DK"/>
              </w:rPr>
            </w:pPr>
            <w:r w:rsidRPr="005B1DA1">
              <w:rPr>
                <w:rFonts w:ascii="Times New Roman" w:eastAsia="Arial Unicode MS" w:hAnsi="Times New Roman"/>
                <w:color w:val="000000"/>
                <w:sz w:val="22"/>
                <w:lang w:val="da-DK"/>
              </w:rPr>
              <w:t>Radiologi</w:t>
            </w:r>
          </w:p>
          <w:p w:rsidR="00FF6BDE" w:rsidRPr="005B1DA1" w:rsidRDefault="00770A13" w:rsidP="002F603D">
            <w:pPr>
              <w:keepNext/>
              <w:rPr>
                <w:rFonts w:ascii="Times New Roman" w:eastAsia="Arial Unicode MS" w:hAnsi="Times New Roman"/>
                <w:color w:val="000000"/>
                <w:sz w:val="22"/>
                <w:lang w:val="da-DK"/>
              </w:rPr>
            </w:pPr>
            <w:r w:rsidRPr="005B1DA1">
              <w:rPr>
                <w:rFonts w:ascii="Times New Roman" w:eastAsia="Arial Unicode MS" w:hAnsi="Times New Roman"/>
                <w:color w:val="000000"/>
                <w:sz w:val="22"/>
                <w:lang w:val="da-DK"/>
              </w:rPr>
              <w:t>Medici del dolore</w:t>
            </w:r>
          </w:p>
          <w:p w:rsidR="00FF6BDE" w:rsidRPr="005B1DA1" w:rsidRDefault="00770A13" w:rsidP="002F603D">
            <w:pPr>
              <w:keepNext/>
              <w:rPr>
                <w:rFonts w:ascii="Times New Roman" w:eastAsia="Arial Unicode MS" w:hAnsi="Times New Roman"/>
                <w:color w:val="000000"/>
                <w:sz w:val="22"/>
                <w:lang w:val="da-DK"/>
              </w:rPr>
            </w:pPr>
            <w:r w:rsidRPr="005B1DA1">
              <w:rPr>
                <w:rFonts w:ascii="Times New Roman" w:eastAsia="Arial Unicode MS" w:hAnsi="Times New Roman"/>
                <w:color w:val="000000"/>
                <w:sz w:val="22"/>
                <w:lang w:val="da-DK"/>
              </w:rPr>
              <w:t>Dermatologi</w:t>
            </w:r>
          </w:p>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Cardiologi</w:t>
            </w:r>
          </w:p>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Psicologi</w:t>
            </w:r>
          </w:p>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Nutrizionisti</w:t>
            </w:r>
          </w:p>
          <w:p w:rsidR="004A2366" w:rsidRPr="005B1DA1" w:rsidRDefault="004A2366"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Fisiatri</w:t>
            </w:r>
          </w:p>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Personale infermieristico</w:t>
            </w:r>
          </w:p>
        </w:tc>
        <w:tc>
          <w:tcPr>
            <w:tcW w:w="369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lang w:val="pt-PT"/>
              </w:rPr>
              <w:t>UOC Oncologia Medica</w:t>
            </w:r>
          </w:p>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UOC Chirurgia</w:t>
            </w:r>
          </w:p>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UOC Medicina Nucleare</w:t>
            </w:r>
          </w:p>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UOC Endocrinologia</w:t>
            </w:r>
          </w:p>
          <w:p w:rsidR="00FF6BDE" w:rsidRPr="005B1DA1" w:rsidRDefault="00770A13" w:rsidP="002F603D">
            <w:pPr>
              <w:keepNext/>
              <w:rPr>
                <w:rFonts w:ascii="Times New Roman" w:eastAsia="Arial Unicode MS" w:hAnsi="Times New Roman"/>
                <w:color w:val="000000"/>
                <w:sz w:val="22"/>
                <w:lang w:val="pt-PT"/>
              </w:rPr>
            </w:pPr>
            <w:r w:rsidRPr="005B1DA1">
              <w:rPr>
                <w:rFonts w:ascii="Times New Roman" w:eastAsia="Arial Unicode MS" w:hAnsi="Times New Roman"/>
                <w:color w:val="000000"/>
                <w:sz w:val="22"/>
              </w:rPr>
              <w:t>UOC Radioterapisti</w:t>
            </w:r>
          </w:p>
          <w:p w:rsidR="00FF6BDE" w:rsidRPr="005B1DA1" w:rsidRDefault="00770A13" w:rsidP="002F603D">
            <w:pPr>
              <w:keepNext/>
              <w:rPr>
                <w:rFonts w:ascii="Times New Roman" w:eastAsia="Arial Unicode MS" w:hAnsi="Times New Roman"/>
                <w:color w:val="000000"/>
                <w:sz w:val="22"/>
                <w:lang w:val="pt-PT"/>
              </w:rPr>
            </w:pPr>
            <w:r w:rsidRPr="005B1DA1">
              <w:rPr>
                <w:rFonts w:ascii="Times New Roman" w:eastAsia="Arial Unicode MS" w:hAnsi="Times New Roman"/>
                <w:color w:val="000000"/>
                <w:sz w:val="22"/>
                <w:lang w:val="pt-PT"/>
              </w:rPr>
              <w:t>UOC Ortopedia</w:t>
            </w:r>
          </w:p>
          <w:p w:rsidR="00FF6BDE" w:rsidRPr="005B1DA1" w:rsidRDefault="00770A13" w:rsidP="002F603D">
            <w:pPr>
              <w:keepNext/>
              <w:rPr>
                <w:rFonts w:ascii="Times New Roman" w:eastAsia="Arial Unicode MS" w:hAnsi="Times New Roman"/>
                <w:color w:val="000000"/>
                <w:sz w:val="22"/>
                <w:lang w:val="pt-PT"/>
              </w:rPr>
            </w:pPr>
            <w:r w:rsidRPr="005B1DA1">
              <w:rPr>
                <w:rFonts w:ascii="Times New Roman" w:eastAsia="Arial Unicode MS" w:hAnsi="Times New Roman"/>
                <w:color w:val="000000"/>
                <w:sz w:val="22"/>
                <w:lang w:val="pt-PT"/>
              </w:rPr>
              <w:t>UOC Genetica Medica</w:t>
            </w:r>
          </w:p>
          <w:p w:rsidR="00FF6BDE" w:rsidRPr="005B1DA1" w:rsidRDefault="00770A13" w:rsidP="002F603D">
            <w:pPr>
              <w:keepNext/>
              <w:rPr>
                <w:rFonts w:ascii="Times New Roman" w:eastAsia="Arial Unicode MS" w:hAnsi="Times New Roman"/>
                <w:color w:val="000000"/>
                <w:sz w:val="22"/>
                <w:lang w:val="pt-PT"/>
              </w:rPr>
            </w:pPr>
            <w:r w:rsidRPr="005B1DA1">
              <w:rPr>
                <w:rFonts w:ascii="Times New Roman" w:eastAsia="Arial Unicode MS" w:hAnsi="Times New Roman"/>
                <w:color w:val="000000"/>
                <w:sz w:val="22"/>
                <w:lang w:val="pt-PT"/>
              </w:rPr>
              <w:t>UOC Patologia clinica</w:t>
            </w:r>
          </w:p>
          <w:p w:rsidR="00FF6BDE" w:rsidRPr="005B1DA1" w:rsidRDefault="00770A13" w:rsidP="002F603D">
            <w:pPr>
              <w:keepNext/>
              <w:rPr>
                <w:rFonts w:ascii="Times New Roman" w:eastAsia="Arial Unicode MS" w:hAnsi="Times New Roman"/>
                <w:color w:val="000000"/>
                <w:sz w:val="22"/>
                <w:lang w:val="pt-PT"/>
              </w:rPr>
            </w:pPr>
            <w:r w:rsidRPr="005B1DA1">
              <w:rPr>
                <w:rFonts w:ascii="Times New Roman" w:eastAsia="Arial Unicode MS" w:hAnsi="Times New Roman"/>
                <w:color w:val="000000"/>
                <w:sz w:val="22"/>
                <w:lang w:val="pt-PT"/>
              </w:rPr>
              <w:t>UOC Biologia Molecolare</w:t>
            </w:r>
          </w:p>
          <w:p w:rsidR="00FF6BDE" w:rsidRPr="005B1DA1" w:rsidRDefault="00770A13" w:rsidP="002F603D">
            <w:pPr>
              <w:keepNext/>
              <w:rPr>
                <w:rFonts w:ascii="Times New Roman" w:eastAsia="Arial Unicode MS" w:hAnsi="Times New Roman"/>
                <w:color w:val="000000"/>
                <w:sz w:val="22"/>
                <w:lang w:val="pt-PT"/>
              </w:rPr>
            </w:pPr>
            <w:r w:rsidRPr="005B1DA1">
              <w:rPr>
                <w:rFonts w:ascii="Times New Roman" w:eastAsia="Arial Unicode MS" w:hAnsi="Times New Roman"/>
                <w:color w:val="000000"/>
                <w:sz w:val="22"/>
                <w:lang w:val="pt-PT"/>
              </w:rPr>
              <w:t>UOC Anatomia Patologica</w:t>
            </w:r>
          </w:p>
          <w:p w:rsidR="00FF6BDE" w:rsidRPr="005B1DA1" w:rsidRDefault="00770A13" w:rsidP="002F603D">
            <w:pPr>
              <w:keepNext/>
              <w:rPr>
                <w:rFonts w:ascii="Times New Roman" w:eastAsia="Arial Unicode MS" w:hAnsi="Times New Roman"/>
                <w:color w:val="000000"/>
                <w:sz w:val="22"/>
                <w:lang w:val="pt-PT"/>
              </w:rPr>
            </w:pPr>
            <w:r w:rsidRPr="005B1DA1">
              <w:rPr>
                <w:rFonts w:ascii="Times New Roman" w:eastAsia="Arial Unicode MS" w:hAnsi="Times New Roman"/>
                <w:color w:val="000000"/>
                <w:sz w:val="22"/>
                <w:lang w:val="pt-PT"/>
              </w:rPr>
              <w:t>UOC ORL</w:t>
            </w:r>
          </w:p>
          <w:p w:rsidR="00FF6BDE" w:rsidRPr="005B1DA1" w:rsidRDefault="00770A13" w:rsidP="002F603D">
            <w:pPr>
              <w:keepNext/>
              <w:rPr>
                <w:rFonts w:ascii="Times New Roman" w:eastAsia="Arial Unicode MS" w:hAnsi="Times New Roman"/>
                <w:color w:val="000000"/>
                <w:sz w:val="22"/>
                <w:lang w:val="pt-PT"/>
              </w:rPr>
            </w:pPr>
            <w:r w:rsidRPr="005B1DA1">
              <w:rPr>
                <w:rFonts w:ascii="Times New Roman" w:eastAsia="Arial Unicode MS" w:hAnsi="Times New Roman"/>
                <w:color w:val="000000"/>
                <w:sz w:val="22"/>
                <w:lang w:val="pt-PT"/>
              </w:rPr>
              <w:t>UOC Radiodiagnostica</w:t>
            </w:r>
          </w:p>
          <w:p w:rsidR="00FF6BDE" w:rsidRPr="005B1DA1" w:rsidRDefault="00770A13" w:rsidP="002F603D">
            <w:pPr>
              <w:keepNext/>
              <w:rPr>
                <w:rFonts w:ascii="Times New Roman" w:eastAsia="Arial Unicode MS" w:hAnsi="Times New Roman"/>
                <w:color w:val="000000"/>
                <w:sz w:val="22"/>
                <w:lang w:val="pt-PT"/>
              </w:rPr>
            </w:pPr>
            <w:r w:rsidRPr="005B1DA1">
              <w:rPr>
                <w:rFonts w:ascii="Times New Roman" w:eastAsia="Arial Unicode MS" w:hAnsi="Times New Roman"/>
                <w:color w:val="000000"/>
                <w:sz w:val="22"/>
                <w:lang w:val="pt-PT"/>
              </w:rPr>
              <w:t>UO Terapie Palliative</w:t>
            </w:r>
          </w:p>
          <w:p w:rsidR="00FF6BDE" w:rsidRPr="005B1DA1" w:rsidRDefault="00770A13" w:rsidP="002F603D">
            <w:pPr>
              <w:keepNext/>
              <w:rPr>
                <w:rFonts w:ascii="Times New Roman" w:eastAsia="Arial Unicode MS" w:hAnsi="Times New Roman"/>
                <w:color w:val="000000"/>
                <w:sz w:val="22"/>
                <w:lang w:val="pt-PT"/>
              </w:rPr>
            </w:pPr>
            <w:r w:rsidRPr="005B1DA1">
              <w:rPr>
                <w:rFonts w:ascii="Times New Roman" w:eastAsia="Arial Unicode MS" w:hAnsi="Times New Roman"/>
                <w:color w:val="000000"/>
                <w:sz w:val="22"/>
                <w:lang w:val="pt-PT"/>
              </w:rPr>
              <w:t>UOC Dermatologia</w:t>
            </w:r>
          </w:p>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UO Cardiologia</w:t>
            </w:r>
          </w:p>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UO Psicologia</w:t>
            </w:r>
          </w:p>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UO Nutrizione</w:t>
            </w:r>
          </w:p>
          <w:p w:rsidR="004A2366" w:rsidRPr="005B1DA1" w:rsidRDefault="004A2366"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UO Medicina Riabilitativa</w:t>
            </w:r>
          </w:p>
        </w:tc>
      </w:tr>
      <w:tr w:rsidR="00FF6BDE" w:rsidRPr="005B1DA1" w:rsidTr="004F1EC1">
        <w:trPr>
          <w:trHeight w:val="878"/>
        </w:trPr>
        <w:tc>
          <w:tcPr>
            <w:tcW w:w="2225" w:type="dxa"/>
            <w:vMerge/>
            <w:tcBorders>
              <w:top w:val="single" w:sz="4" w:space="0" w:color="000000"/>
              <w:left w:val="nil"/>
              <w:bottom w:val="single" w:sz="4" w:space="0" w:color="000000"/>
              <w:right w:val="nil"/>
            </w:tcBorders>
            <w:shd w:val="clear" w:color="auto" w:fill="auto"/>
            <w:vAlign w:val="center"/>
          </w:tcPr>
          <w:p w:rsidR="00FF6BDE" w:rsidRPr="005B1DA1" w:rsidRDefault="00FF6BDE" w:rsidP="004F1EC1">
            <w:pPr>
              <w:jc w:val="both"/>
              <w:rPr>
                <w:rFonts w:ascii="Times New Roman" w:eastAsia="Arial Unicode MS" w:hAnsi="Times New Roman"/>
                <w:color w:val="000000"/>
                <w:sz w:val="22"/>
              </w:rPr>
            </w:pPr>
          </w:p>
        </w:tc>
        <w:tc>
          <w:tcPr>
            <w:tcW w:w="339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Farmacisti</w:t>
            </w:r>
          </w:p>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Personale Infermieristico e/o Tecnici di laboratorio medico</w:t>
            </w:r>
          </w:p>
        </w:tc>
        <w:tc>
          <w:tcPr>
            <w:tcW w:w="369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UO Farmacia</w:t>
            </w:r>
          </w:p>
          <w:p w:rsidR="00FF6BDE" w:rsidRPr="005B1DA1" w:rsidRDefault="00770A13" w:rsidP="002F603D">
            <w:pPr>
              <w:keepNext/>
              <w:rPr>
                <w:rFonts w:ascii="Times New Roman" w:eastAsia="Arial Unicode MS" w:hAnsi="Times New Roman"/>
                <w:color w:val="000000"/>
                <w:sz w:val="22"/>
              </w:rPr>
            </w:pPr>
            <w:r w:rsidRPr="005B1DA1">
              <w:rPr>
                <w:rFonts w:ascii="Times New Roman" w:eastAsia="Arial Unicode MS" w:hAnsi="Times New Roman"/>
                <w:color w:val="000000"/>
                <w:sz w:val="22"/>
              </w:rPr>
              <w:t>Unit</w:t>
            </w:r>
            <w:r w:rsidRPr="005B1DA1">
              <w:rPr>
                <w:rFonts w:ascii="Times New Roman" w:eastAsia="Arial Unicode MS" w:hAnsi="Times New Roman"/>
                <w:color w:val="000000"/>
                <w:sz w:val="22"/>
                <w:lang w:val="fr-FR"/>
              </w:rPr>
              <w:t xml:space="preserve">à </w:t>
            </w:r>
            <w:r w:rsidRPr="005B1DA1">
              <w:rPr>
                <w:rFonts w:ascii="Times New Roman" w:eastAsia="Arial Unicode MS" w:hAnsi="Times New Roman"/>
                <w:color w:val="000000"/>
                <w:sz w:val="22"/>
              </w:rPr>
              <w:t>di Manipolazione di Chemioterapici Antineoplastici (UMACA/UFA)</w:t>
            </w:r>
          </w:p>
        </w:tc>
      </w:tr>
      <w:bookmarkEnd w:id="1"/>
    </w:tbl>
    <w:p w:rsidR="004A2366" w:rsidRPr="003F6D44" w:rsidRDefault="004A2366" w:rsidP="003F6D44">
      <w:pPr>
        <w:autoSpaceDE w:val="0"/>
        <w:autoSpaceDN w:val="0"/>
        <w:adjustRightInd w:val="0"/>
        <w:spacing w:line="360" w:lineRule="auto"/>
        <w:jc w:val="both"/>
        <w:rPr>
          <w:rFonts w:ascii="Times New Roman" w:eastAsia="Calibri" w:hAnsi="Times New Roman"/>
          <w:b/>
          <w:bCs/>
          <w:lang w:eastAsia="en-US"/>
        </w:rPr>
      </w:pPr>
    </w:p>
    <w:p w:rsidR="004A2366" w:rsidRPr="003F6D44" w:rsidRDefault="004A2366" w:rsidP="003F6D44">
      <w:pPr>
        <w:autoSpaceDE w:val="0"/>
        <w:autoSpaceDN w:val="0"/>
        <w:adjustRightInd w:val="0"/>
        <w:spacing w:line="360" w:lineRule="auto"/>
        <w:jc w:val="both"/>
        <w:rPr>
          <w:rFonts w:ascii="Times New Roman" w:eastAsia="Calibri" w:hAnsi="Times New Roman"/>
          <w:b/>
          <w:bCs/>
          <w:lang w:eastAsia="en-US"/>
        </w:rPr>
      </w:pPr>
    </w:p>
    <w:p w:rsidR="004A2366" w:rsidRDefault="004A2366" w:rsidP="003F6D44">
      <w:pPr>
        <w:autoSpaceDE w:val="0"/>
        <w:autoSpaceDN w:val="0"/>
        <w:adjustRightInd w:val="0"/>
        <w:spacing w:line="360" w:lineRule="auto"/>
        <w:jc w:val="both"/>
        <w:rPr>
          <w:rFonts w:ascii="Times New Roman" w:eastAsia="Calibri" w:hAnsi="Times New Roman"/>
          <w:b/>
          <w:bCs/>
          <w:lang w:eastAsia="en-US"/>
        </w:rPr>
      </w:pPr>
    </w:p>
    <w:p w:rsidR="005B1DA1" w:rsidRPr="003F6D44" w:rsidRDefault="005B1DA1" w:rsidP="003F6D44">
      <w:pPr>
        <w:autoSpaceDE w:val="0"/>
        <w:autoSpaceDN w:val="0"/>
        <w:adjustRightInd w:val="0"/>
        <w:spacing w:line="360" w:lineRule="auto"/>
        <w:jc w:val="both"/>
        <w:rPr>
          <w:rFonts w:ascii="Times New Roman" w:eastAsia="Calibri" w:hAnsi="Times New Roman"/>
          <w:b/>
          <w:bCs/>
          <w:lang w:eastAsia="en-US"/>
        </w:rPr>
      </w:pPr>
    </w:p>
    <w:p w:rsidR="004A2366" w:rsidRPr="003F6D44" w:rsidRDefault="004A2366" w:rsidP="003F6D44">
      <w:pPr>
        <w:autoSpaceDE w:val="0"/>
        <w:autoSpaceDN w:val="0"/>
        <w:adjustRightInd w:val="0"/>
        <w:spacing w:line="360" w:lineRule="auto"/>
        <w:jc w:val="both"/>
        <w:rPr>
          <w:rFonts w:ascii="Times New Roman" w:eastAsia="Calibri" w:hAnsi="Times New Roman"/>
          <w:b/>
          <w:bCs/>
          <w:lang w:eastAsia="en-US"/>
        </w:rPr>
      </w:pPr>
    </w:p>
    <w:p w:rsidR="004A2366" w:rsidRPr="003F6D44" w:rsidRDefault="004A2366" w:rsidP="003F6D44">
      <w:pPr>
        <w:autoSpaceDE w:val="0"/>
        <w:autoSpaceDN w:val="0"/>
        <w:adjustRightInd w:val="0"/>
        <w:spacing w:line="360" w:lineRule="auto"/>
        <w:jc w:val="both"/>
        <w:rPr>
          <w:rFonts w:ascii="Times New Roman" w:eastAsia="Calibri" w:hAnsi="Times New Roman"/>
          <w:b/>
          <w:bCs/>
          <w:lang w:eastAsia="en-US"/>
        </w:rPr>
      </w:pPr>
    </w:p>
    <w:p w:rsidR="00FF6BDE" w:rsidRPr="003F6D44" w:rsidRDefault="00770A13" w:rsidP="004F1EC1">
      <w:pPr>
        <w:autoSpaceDE w:val="0"/>
        <w:autoSpaceDN w:val="0"/>
        <w:adjustRightInd w:val="0"/>
        <w:spacing w:line="360" w:lineRule="auto"/>
        <w:jc w:val="center"/>
        <w:rPr>
          <w:rFonts w:ascii="Times New Roman" w:eastAsia="Calibri" w:hAnsi="Times New Roman"/>
          <w:b/>
          <w:bCs/>
          <w:lang w:eastAsia="en-US"/>
        </w:rPr>
      </w:pPr>
      <w:r w:rsidRPr="003F6D44">
        <w:rPr>
          <w:rFonts w:ascii="Times New Roman" w:eastAsia="Calibri" w:hAnsi="Times New Roman"/>
          <w:b/>
          <w:bCs/>
          <w:lang w:eastAsia="en-US"/>
        </w:rPr>
        <w:lastRenderedPageBreak/>
        <w:t>CARCINOMA DELLA TIROIDE</w:t>
      </w:r>
    </w:p>
    <w:p w:rsidR="004A2366" w:rsidRPr="003F6D44" w:rsidRDefault="004A2366" w:rsidP="003F6D44">
      <w:pPr>
        <w:autoSpaceDE w:val="0"/>
        <w:autoSpaceDN w:val="0"/>
        <w:adjustRightInd w:val="0"/>
        <w:spacing w:before="100" w:after="100" w:line="360" w:lineRule="auto"/>
        <w:jc w:val="both"/>
        <w:rPr>
          <w:rFonts w:ascii="Times New Roman" w:eastAsia="MinionPro-Regular" w:hAnsi="Times New Roman"/>
          <w:b/>
          <w:lang w:eastAsia="en-US"/>
        </w:rPr>
      </w:pPr>
      <w:r w:rsidRPr="003F6D44">
        <w:rPr>
          <w:rFonts w:ascii="Times New Roman" w:eastAsia="MinionPro-Regular" w:hAnsi="Times New Roman"/>
          <w:b/>
          <w:lang w:eastAsia="en-US"/>
        </w:rPr>
        <w:t>Brevi note epidemiologiche</w:t>
      </w:r>
    </w:p>
    <w:p w:rsidR="004A2366" w:rsidRPr="003F6D44" w:rsidRDefault="004A2366" w:rsidP="003F6D44">
      <w:pPr>
        <w:autoSpaceDE w:val="0"/>
        <w:autoSpaceDN w:val="0"/>
        <w:adjustRightInd w:val="0"/>
        <w:spacing w:before="100" w:after="100" w:line="360" w:lineRule="auto"/>
        <w:jc w:val="both"/>
        <w:rPr>
          <w:rFonts w:ascii="Times New Roman" w:eastAsia="MinionPro-Regular" w:hAnsi="Times New Roman"/>
          <w:b/>
          <w:vertAlign w:val="superscript"/>
          <w:lang w:eastAsia="en-US"/>
        </w:rPr>
      </w:pPr>
      <w:r w:rsidRPr="003F6D44">
        <w:rPr>
          <w:rFonts w:ascii="Times New Roman" w:eastAsia="MinionPro-Regular" w:hAnsi="Times New Roman"/>
          <w:b/>
          <w:lang w:eastAsia="en-US"/>
        </w:rPr>
        <w:t>Fattori di rischio</w:t>
      </w:r>
    </w:p>
    <w:p w:rsidR="004A2366" w:rsidRPr="003F6D44" w:rsidRDefault="004A2366" w:rsidP="003F6D44">
      <w:pPr>
        <w:autoSpaceDE w:val="0"/>
        <w:autoSpaceDN w:val="0"/>
        <w:adjustRightInd w:val="0"/>
        <w:spacing w:line="360" w:lineRule="auto"/>
        <w:jc w:val="both"/>
        <w:rPr>
          <w:rFonts w:ascii="Times New Roman" w:eastAsia="MinionPro-Regular" w:hAnsi="Times New Roman"/>
          <w:lang w:eastAsia="en-US"/>
        </w:rPr>
      </w:pPr>
      <w:r w:rsidRPr="003F6D44">
        <w:rPr>
          <w:rFonts w:ascii="Times New Roman" w:eastAsia="MinionPro-Regular" w:hAnsi="Times New Roman"/>
          <w:lang w:eastAsia="en-US"/>
        </w:rPr>
        <w:t>Il carcinoma della tiroide è oggi uno dei tumori più frequenti in Italia, con particolare riferimento ai giovani adulti; nella fascia di età, infatti, 0/49 anni rappresenta il terzo tumore nei maschi (dopo testicolo e melanoma) ed il secondo nelle donne (dopo la mammella); nelle donne rappresenta il quinto tumore anche nella fascia di età 50/69 anni. Dal punto di vista morfologico il 90% dei tumori tiroidei è rappresentato dal carcinoma papillare e follicolare; i tumori midollari rappresentano meno del 5% del totale ed i carcinomi poco differenziati o anaplastici costituiscono la forma più rara (1-2% del totale) ma anche la più severa in quanto, diffondendosi velocemente sia a livello locale che per via linfatica ed ematica, risultano molto spesso letali.</w:t>
      </w:r>
    </w:p>
    <w:p w:rsidR="004A2366" w:rsidRPr="003F6D44" w:rsidRDefault="004A2366" w:rsidP="003F6D44">
      <w:pPr>
        <w:autoSpaceDE w:val="0"/>
        <w:autoSpaceDN w:val="0"/>
        <w:adjustRightInd w:val="0"/>
        <w:spacing w:line="360" w:lineRule="auto"/>
        <w:jc w:val="both"/>
        <w:rPr>
          <w:rFonts w:ascii="Times New Roman" w:eastAsia="MinionPro-Regular" w:hAnsi="Times New Roman"/>
          <w:lang w:eastAsia="en-US"/>
        </w:rPr>
      </w:pPr>
      <w:r w:rsidRPr="003F6D44">
        <w:rPr>
          <w:rFonts w:ascii="Times New Roman" w:eastAsia="MinionPro-Regular" w:hAnsi="Times New Roman"/>
          <w:lang w:eastAsia="en-US"/>
        </w:rPr>
        <w:t>Un aspetto rilevante dell’epidemiologia del tumore tiroideo è rappresentato dal rapido e progressivo incremento della sua incidenza: l’aumento di incidenza dei tumori della tiroide è risultato più marcato rispetto a quanto registrato per qualsiasi altra neoplasia, con incidenza in alcuni Paesi ad alto reddito raddoppiata in meno di 10 anni, con un picco di incidenza nelle classi di età centrali (40-50 anni).</w:t>
      </w:r>
    </w:p>
    <w:p w:rsidR="004A2366" w:rsidRPr="003F6D44" w:rsidRDefault="004A2366" w:rsidP="003F6D44">
      <w:pPr>
        <w:autoSpaceDE w:val="0"/>
        <w:autoSpaceDN w:val="0"/>
        <w:adjustRightInd w:val="0"/>
        <w:spacing w:line="360" w:lineRule="auto"/>
        <w:jc w:val="both"/>
        <w:rPr>
          <w:rFonts w:ascii="Times New Roman" w:eastAsia="MinionPro-Regular" w:hAnsi="Times New Roman"/>
          <w:lang w:eastAsia="en-US"/>
        </w:rPr>
      </w:pPr>
      <w:r w:rsidRPr="003F6D44">
        <w:rPr>
          <w:rFonts w:ascii="Times New Roman" w:eastAsia="MinionPro-Regular" w:hAnsi="Times New Roman"/>
          <w:lang w:eastAsia="en-US"/>
        </w:rPr>
        <w:t>Gran parte tale fenomeno è da ricondurre alla sovra-diagnosi determinata da una aumentata pressione diagnostica favorita anche dal comune accesso ad esami ecografici di screening opportunistici. Uno dei principali fattori di rischio dei tumori tiroidei è rappresentato dall’esposizione a radiazioni ionizzanti durante l’infanzia e l’adolescenza; è oggetto di studio l’associazione tra indice di massa corporea e rischio di sviluppare tumori della tiroide e alcuni studi suggeriscono che circa il 10% dei casi di tumori della tiroide possano essere attribuiti, oltre che all’esposizione a radiazioni ionizzanti, anche al sovrappeso. Tuttavia, stimare la quota di tumori della tiroide attribuibile a questi due fattori resta complesso in quanto tale frazione (rischio attribuibile) è dipendente sia dai livelli di esposizione che dalla forza dell’associazione (rischio relativo) tra esposizione e tumore, variabili tra aree e nel tempo. Un ulteriore fattore di rischio per i tumori follicolari ed anaplastici della tiroide è rappresentato dalla carenza di iodio; in Italia, tuttavia, non ci sono evidenze di un aumento della carenza di iodio negli ultimi decenni. La suscettibilità genetica è ritenuta responsabile di circa un quarto dei tumori midollari della tiroide, quindi non più dell’1% di tutti i tumori totali della tiroide. Un possibile legame tra suoli vulcanici e tumori della tiroide, è stato suggerito da alcuni studi italiani, sia nell’area Etnea che in quella Vesuviana, tuttavia, appare poco probabile che le importanti variazioni nel tempo dell’incidenza dei tumori della tiroide siano spiegabili con altrettanto repentini cambiamenti di esposizioni ad inquinanti in quelle stesse aree. Infine, nessuno dei fattori di rischio noti ha mostrato un aumento cosi marcato nel tempo, nè una variabilità geografica tale da poter spiegare, se non in parte, il quadro epidemiologico documentato in Italia.</w:t>
      </w:r>
    </w:p>
    <w:p w:rsidR="004A2366" w:rsidRPr="003F6D44" w:rsidRDefault="004A2366" w:rsidP="003F6D44">
      <w:pPr>
        <w:autoSpaceDE w:val="0"/>
        <w:autoSpaceDN w:val="0"/>
        <w:adjustRightInd w:val="0"/>
        <w:spacing w:line="360" w:lineRule="auto"/>
        <w:jc w:val="both"/>
        <w:rPr>
          <w:rFonts w:ascii="Times New Roman" w:eastAsia="MinionPro-Regular" w:hAnsi="Times New Roman"/>
          <w:lang w:eastAsia="en-US"/>
        </w:rPr>
      </w:pPr>
      <w:r w:rsidRPr="003F6D44">
        <w:rPr>
          <w:rFonts w:ascii="Times New Roman" w:eastAsia="MinionPro-Regular" w:hAnsi="Times New Roman"/>
          <w:lang w:eastAsia="en-US"/>
        </w:rPr>
        <w:lastRenderedPageBreak/>
        <w:t>Le pazienti con tumori della tiroide (prevalenti) rappresentano ormai il quarto gruppo più frequente di donne italiane che hanno avuto una diagnosi di tumore. Ma nonostante incidenze triplicate nelle donne e trattamenti simili nei due sessi, si osservano tassi di mortalità praticamente uguali nelle donne e negli uomini</w:t>
      </w:r>
    </w:p>
    <w:p w:rsidR="004A2366" w:rsidRPr="003F6D44" w:rsidRDefault="004A2366" w:rsidP="003F6D44">
      <w:pPr>
        <w:spacing w:after="160" w:line="360" w:lineRule="auto"/>
        <w:jc w:val="both"/>
        <w:rPr>
          <w:rFonts w:ascii="Times New Roman" w:eastAsia="MinionPro-Regular" w:hAnsi="Times New Roman"/>
          <w:lang w:eastAsia="en-US"/>
        </w:rPr>
      </w:pPr>
      <w:r w:rsidRPr="003F6D44">
        <w:rPr>
          <w:rFonts w:ascii="Times New Roman" w:eastAsia="MinionPro-Regular" w:hAnsi="Times New Roman"/>
          <w:lang w:eastAsia="en-US"/>
        </w:rPr>
        <w:t xml:space="preserve">Fra le forme differenziate, solo per il carcinoma papillare si è registrato un progressivo incremento di incidenza, mentre le altre istologie più rare, come il carcinoma follicolare, non sembrerebbero seguire il trend di incidenza del carcinoma papillare. Tale dato epidemiologico sta determinando, sia a livello nazionale che internazionale, un aumento di studi osservazionali in cui il microcarcinoma papillare, una volta diagnosticato, viene semplicemente monitorato e non trattato chirurgicamente, a meno di una progressione di malattia. Questo comportamento è sostenuto dall’opportunità di evitare i costi diretti e indiretti (assunzione permanente di una terapia ormonale sostitutiva, impatto sulla qualità di vita) legati a procedure chirurgiche inutili, che peraltro non impattano sulla storia naturale della malattia. </w:t>
      </w:r>
    </w:p>
    <w:p w:rsidR="004A2366" w:rsidRPr="003F6D44" w:rsidRDefault="004A2366" w:rsidP="003F6D44">
      <w:pPr>
        <w:autoSpaceDE w:val="0"/>
        <w:autoSpaceDN w:val="0"/>
        <w:adjustRightInd w:val="0"/>
        <w:spacing w:line="360" w:lineRule="auto"/>
        <w:jc w:val="both"/>
        <w:rPr>
          <w:rFonts w:ascii="Times New Roman" w:eastAsia="MinionPro-Regular" w:hAnsi="Times New Roman"/>
          <w:lang w:eastAsia="en-US"/>
        </w:rPr>
      </w:pPr>
      <w:r w:rsidRPr="003F6D44">
        <w:rPr>
          <w:rFonts w:ascii="Times New Roman" w:eastAsia="MinionPro-Regular" w:hAnsi="Times New Roman"/>
          <w:lang w:eastAsia="en-US"/>
        </w:rPr>
        <w:t>Le evidenze epidemiologiche spingono, quindi, a ridiscutere le pratiche diagnostiche correnti, come riconosciuto dalle società scientifiche nazionali ed internazionali, scoraggiando le prescrizioni indiscriminate di accertamenti ecografici o agobioptici in pazienti asintomatici; andrebbe inoltre considerata, in accordo con i pazienti stessi, la possibilità di sorveglianza attiva per malattie raramente letali (quali i tumori papillari sottotipo classico).</w:t>
      </w:r>
    </w:p>
    <w:p w:rsidR="004A2366" w:rsidRPr="003F6D44" w:rsidRDefault="004A2366" w:rsidP="003F6D44">
      <w:pPr>
        <w:autoSpaceDE w:val="0"/>
        <w:autoSpaceDN w:val="0"/>
        <w:adjustRightInd w:val="0"/>
        <w:spacing w:before="100" w:after="100" w:line="360" w:lineRule="auto"/>
        <w:jc w:val="both"/>
        <w:rPr>
          <w:rFonts w:ascii="Times New Roman" w:eastAsia="MinionPro-Regular" w:hAnsi="Times New Roman"/>
          <w:b/>
          <w:bCs/>
          <w:lang w:eastAsia="en-US"/>
        </w:rPr>
      </w:pPr>
    </w:p>
    <w:p w:rsidR="004A2366" w:rsidRPr="003F6D44" w:rsidRDefault="004A2366" w:rsidP="003F6D44">
      <w:pPr>
        <w:autoSpaceDE w:val="0"/>
        <w:autoSpaceDN w:val="0"/>
        <w:adjustRightInd w:val="0"/>
        <w:spacing w:before="100" w:after="100" w:line="360" w:lineRule="auto"/>
        <w:jc w:val="both"/>
        <w:rPr>
          <w:rFonts w:ascii="Times New Roman" w:eastAsia="MinionPro-Regular" w:hAnsi="Times New Roman"/>
          <w:b/>
          <w:bCs/>
          <w:lang w:eastAsia="en-US"/>
        </w:rPr>
      </w:pPr>
      <w:r w:rsidRPr="003F6D44">
        <w:rPr>
          <w:rFonts w:ascii="Times New Roman" w:eastAsia="MinionPro-Regular" w:hAnsi="Times New Roman"/>
          <w:b/>
          <w:bCs/>
          <w:lang w:eastAsia="en-US"/>
        </w:rPr>
        <w:t>Incidenza</w:t>
      </w:r>
    </w:p>
    <w:p w:rsidR="004A2366" w:rsidRPr="003F6D44" w:rsidRDefault="004A2366" w:rsidP="003F6D44">
      <w:pPr>
        <w:pBdr>
          <w:top w:val="nil"/>
          <w:left w:val="nil"/>
          <w:bottom w:val="nil"/>
          <w:right w:val="nil"/>
          <w:between w:val="nil"/>
        </w:pBdr>
        <w:spacing w:line="360" w:lineRule="auto"/>
        <w:ind w:right="328"/>
        <w:jc w:val="both"/>
        <w:rPr>
          <w:rFonts w:ascii="Times New Roman" w:eastAsia="MinionPro-Regular" w:hAnsi="Times New Roman"/>
          <w:lang w:eastAsia="en-US"/>
        </w:rPr>
      </w:pPr>
      <w:r w:rsidRPr="003F6D44">
        <w:rPr>
          <w:rFonts w:ascii="Times New Roman" w:eastAsia="MinionPro-Regular" w:hAnsi="Times New Roman"/>
          <w:lang w:eastAsia="en-US"/>
        </w:rPr>
        <w:t>La stima al 2022 in Europa</w:t>
      </w:r>
      <w:r w:rsidRPr="003F6D44">
        <w:rPr>
          <w:rFonts w:ascii="Times New Roman" w:eastAsia="MinionPro-Regular" w:hAnsi="Times New Roman"/>
          <w:vertAlign w:val="superscript"/>
          <w:lang w:eastAsia="en-US"/>
        </w:rPr>
        <w:footnoteReference w:id="1"/>
      </w:r>
      <w:r w:rsidRPr="003F6D44">
        <w:rPr>
          <w:rFonts w:ascii="Times New Roman" w:eastAsia="MinionPro-Regular" w:hAnsi="Times New Roman"/>
          <w:vertAlign w:val="superscript"/>
          <w:lang w:eastAsia="en-US"/>
        </w:rPr>
        <w:t xml:space="preserve"> </w:t>
      </w:r>
      <w:r w:rsidRPr="003F6D44">
        <w:rPr>
          <w:rFonts w:ascii="Times New Roman" w:eastAsia="MinionPro-Regular" w:hAnsi="Times New Roman"/>
          <w:lang w:eastAsia="en-US"/>
        </w:rPr>
        <w:t>dei nuovi casi di tumori tiroidei è di un ASR di 5,3 per 100.000 nei maschi e 16,4 per 100.000 nelle donne con un numero totale di nuovi casi attesi di 50.229 (11.726 maschi e 38.503 donne.</w:t>
      </w:r>
      <w:r w:rsidRPr="003F6D44">
        <w:rPr>
          <w:rFonts w:ascii="Times New Roman" w:hAnsi="Times New Roman"/>
          <w:color w:val="000000"/>
        </w:rPr>
        <w:t xml:space="preserve">  </w:t>
      </w:r>
      <w:r w:rsidRPr="003F6D44">
        <w:rPr>
          <w:rFonts w:ascii="Times New Roman" w:eastAsia="MinionPro-Regular" w:hAnsi="Times New Roman"/>
          <w:lang w:eastAsia="en-US"/>
        </w:rPr>
        <w:t>In Italia</w:t>
      </w:r>
      <w:r w:rsidRPr="003F6D44">
        <w:rPr>
          <w:rFonts w:ascii="Times New Roman" w:eastAsia="MinionPro-Regular" w:hAnsi="Times New Roman"/>
          <w:vertAlign w:val="superscript"/>
          <w:lang w:eastAsia="en-US"/>
        </w:rPr>
        <w:t>1</w:t>
      </w:r>
      <w:r w:rsidRPr="003F6D44">
        <w:rPr>
          <w:rFonts w:ascii="Times New Roman" w:eastAsia="MinionPro-Regular" w:hAnsi="Times New Roman"/>
          <w:lang w:eastAsia="en-US"/>
        </w:rPr>
        <w:t xml:space="preserve"> gli equivalenti dati stimati al 2022 indicano un ASR di 7,8 per 100.000 nei maschi e 20,0 per 100.000 nelle donne con una stima dei casi totali attesi di 8.948 (2.367 maschi e 6.581 donne). In Campania</w:t>
      </w:r>
      <w:r w:rsidRPr="003F6D44">
        <w:rPr>
          <w:rFonts w:ascii="Times New Roman" w:eastAsia="MinionPro-Regular" w:hAnsi="Times New Roman"/>
          <w:vertAlign w:val="superscript"/>
          <w:lang w:eastAsia="en-US"/>
        </w:rPr>
        <w:footnoteReference w:id="2"/>
      </w:r>
      <w:r w:rsidRPr="003F6D44">
        <w:rPr>
          <w:rFonts w:ascii="Times New Roman" w:eastAsia="MinionPro-Regular" w:hAnsi="Times New Roman"/>
          <w:lang w:eastAsia="en-US"/>
        </w:rPr>
        <w:t xml:space="preserve"> è stato rilevato, per il periodo 2014/2018, nei maschi un ASR di 9,7 per 100.000, e nelle donne un ASR di 27,8 per 100.000.</w:t>
      </w:r>
    </w:p>
    <w:p w:rsidR="004A2366" w:rsidRPr="003F6D44" w:rsidRDefault="004A2366" w:rsidP="003F6D44">
      <w:pPr>
        <w:autoSpaceDE w:val="0"/>
        <w:autoSpaceDN w:val="0"/>
        <w:adjustRightInd w:val="0"/>
        <w:spacing w:line="360" w:lineRule="auto"/>
        <w:jc w:val="both"/>
        <w:rPr>
          <w:rFonts w:ascii="Times New Roman" w:eastAsia="MinionPro-Regular" w:hAnsi="Times New Roman"/>
          <w:lang w:eastAsia="en-US"/>
        </w:rPr>
      </w:pPr>
      <w:r w:rsidRPr="003F6D44">
        <w:rPr>
          <w:rFonts w:ascii="Times New Roman" w:eastAsia="MinionPro-Regular" w:hAnsi="Times New Roman"/>
          <w:lang w:eastAsia="en-US"/>
        </w:rPr>
        <w:t>Il trend temporale di incidenza in Campania</w:t>
      </w:r>
      <w:r w:rsidRPr="003F6D44">
        <w:rPr>
          <w:rFonts w:ascii="Times New Roman" w:eastAsia="MinionPro-Regular" w:hAnsi="Times New Roman"/>
          <w:vertAlign w:val="superscript"/>
          <w:lang w:eastAsia="en-US"/>
        </w:rPr>
        <w:t xml:space="preserve">2 </w:t>
      </w:r>
      <w:r w:rsidRPr="003F6D44">
        <w:rPr>
          <w:rFonts w:ascii="Times New Roman" w:eastAsia="MinionPro-Regular" w:hAnsi="Times New Roman"/>
          <w:lang w:eastAsia="en-US"/>
        </w:rPr>
        <w:t xml:space="preserve">evidenzia, nel periodo 2010/2024 un incremento significativo in entrambi i generi: </w:t>
      </w:r>
    </w:p>
    <w:p w:rsidR="004A2366" w:rsidRPr="003F6D44" w:rsidRDefault="004A2366" w:rsidP="003F6D44">
      <w:pPr>
        <w:numPr>
          <w:ilvl w:val="0"/>
          <w:numId w:val="17"/>
        </w:numPr>
        <w:autoSpaceDE w:val="0"/>
        <w:autoSpaceDN w:val="0"/>
        <w:adjustRightInd w:val="0"/>
        <w:spacing w:line="360" w:lineRule="auto"/>
        <w:jc w:val="both"/>
        <w:rPr>
          <w:rFonts w:ascii="Times New Roman" w:eastAsia="MinionPro-Regular" w:hAnsi="Times New Roman"/>
          <w:lang w:eastAsia="en-US"/>
        </w:rPr>
      </w:pPr>
      <w:r w:rsidRPr="003F6D44">
        <w:rPr>
          <w:rFonts w:ascii="Times New Roman" w:eastAsia="MinionPro-Regular" w:hAnsi="Times New Roman"/>
          <w:lang w:eastAsia="en-US"/>
        </w:rPr>
        <w:t xml:space="preserve"> nei maschi con una APC (Annual Percentage Change) di +2,9 (IC95%: 0,8; 5), ed un ASR stimato al 2024 di 12,1 per 100.000 con un numero di 315 nuovi casi annui attesi;  </w:t>
      </w:r>
    </w:p>
    <w:p w:rsidR="004A2366" w:rsidRPr="003F6D44" w:rsidRDefault="004A2366" w:rsidP="003F6D44">
      <w:pPr>
        <w:numPr>
          <w:ilvl w:val="0"/>
          <w:numId w:val="17"/>
        </w:numPr>
        <w:autoSpaceDE w:val="0"/>
        <w:autoSpaceDN w:val="0"/>
        <w:adjustRightInd w:val="0"/>
        <w:spacing w:line="360" w:lineRule="auto"/>
        <w:jc w:val="both"/>
        <w:rPr>
          <w:rFonts w:ascii="Times New Roman" w:eastAsia="MinionPro-Regular" w:hAnsi="Times New Roman"/>
          <w:lang w:eastAsia="en-US"/>
        </w:rPr>
      </w:pPr>
      <w:r w:rsidRPr="003F6D44">
        <w:rPr>
          <w:rFonts w:ascii="Times New Roman" w:eastAsia="MinionPro-Regular" w:hAnsi="Times New Roman"/>
          <w:lang w:eastAsia="en-US"/>
        </w:rPr>
        <w:t xml:space="preserve">nelle donne, una APC (Annual Percentage Change) di +4 (IC95%: 2,3; 5,7) ed un ASR al 2024 di 33,6 per 100.000 con un numero di 894 nuovi casi annui attesi. </w:t>
      </w:r>
    </w:p>
    <w:p w:rsidR="004A2366" w:rsidRPr="003F6D44" w:rsidRDefault="004A2366" w:rsidP="003F6D44">
      <w:pPr>
        <w:autoSpaceDE w:val="0"/>
        <w:autoSpaceDN w:val="0"/>
        <w:adjustRightInd w:val="0"/>
        <w:spacing w:line="360" w:lineRule="auto"/>
        <w:jc w:val="both"/>
        <w:rPr>
          <w:rFonts w:ascii="Times New Roman" w:eastAsia="MinionPro-Regular" w:hAnsi="Times New Roman"/>
          <w:lang w:eastAsia="en-US"/>
        </w:rPr>
      </w:pPr>
    </w:p>
    <w:p w:rsidR="004A2366" w:rsidRPr="003F6D44" w:rsidRDefault="004A2366" w:rsidP="003F6D44">
      <w:pPr>
        <w:autoSpaceDE w:val="0"/>
        <w:autoSpaceDN w:val="0"/>
        <w:adjustRightInd w:val="0"/>
        <w:spacing w:before="100" w:after="100" w:line="360" w:lineRule="auto"/>
        <w:jc w:val="both"/>
        <w:rPr>
          <w:rFonts w:ascii="Times New Roman" w:eastAsia="MinionPro-Regular" w:hAnsi="Times New Roman"/>
          <w:b/>
          <w:bCs/>
          <w:lang w:eastAsia="en-US"/>
        </w:rPr>
      </w:pPr>
      <w:r w:rsidRPr="003F6D44">
        <w:rPr>
          <w:rFonts w:ascii="Times New Roman" w:eastAsia="MinionPro-Regular" w:hAnsi="Times New Roman"/>
          <w:b/>
          <w:bCs/>
          <w:lang w:eastAsia="en-US"/>
        </w:rPr>
        <w:t>Mortalità</w:t>
      </w:r>
    </w:p>
    <w:p w:rsidR="004A2366" w:rsidRPr="003F6D44" w:rsidRDefault="004A2366" w:rsidP="003F6D44">
      <w:pPr>
        <w:spacing w:after="93" w:line="360" w:lineRule="auto"/>
        <w:ind w:left="72" w:right="569" w:hanging="10"/>
        <w:jc w:val="both"/>
        <w:rPr>
          <w:rFonts w:ascii="Times New Roman" w:eastAsia="MinionPro-Regular" w:hAnsi="Times New Roman"/>
          <w:lang w:eastAsia="en-US"/>
        </w:rPr>
      </w:pPr>
      <w:bookmarkStart w:id="2" w:name="_Hlk61852066"/>
      <w:r w:rsidRPr="003F6D44">
        <w:rPr>
          <w:rFonts w:ascii="Times New Roman" w:eastAsia="MinionPro-Regular" w:hAnsi="Times New Roman"/>
          <w:lang w:eastAsia="en-US"/>
        </w:rPr>
        <w:t>La stima al 2022 dei decessi per tumori della tiroide in Europa</w:t>
      </w:r>
      <w:r w:rsidRPr="003F6D44">
        <w:rPr>
          <w:rFonts w:ascii="Times New Roman" w:eastAsia="MinionPro-Regular" w:hAnsi="Times New Roman"/>
          <w:vertAlign w:val="superscript"/>
          <w:lang w:eastAsia="en-US"/>
        </w:rPr>
        <w:t>1</w:t>
      </w:r>
      <w:r w:rsidRPr="003F6D44">
        <w:rPr>
          <w:rFonts w:ascii="Times New Roman" w:eastAsia="MinionPro-Regular" w:hAnsi="Times New Roman"/>
          <w:lang w:eastAsia="en-US"/>
        </w:rPr>
        <w:t xml:space="preserve"> è di un ASR di mortalità di 0,7 per 100.000 nei maschi e 0,8 per 100.000 nelle donne con un numero di decessi stimati di 3.845 (1.531 maschi e 2.314 donne). In Italia</w:t>
      </w:r>
      <w:r w:rsidRPr="003F6D44">
        <w:rPr>
          <w:rFonts w:ascii="Times New Roman" w:eastAsia="MinionPro-Regular" w:hAnsi="Times New Roman"/>
          <w:vertAlign w:val="superscript"/>
          <w:lang w:eastAsia="en-US"/>
        </w:rPr>
        <w:t>2</w:t>
      </w:r>
      <w:r w:rsidRPr="003F6D44">
        <w:rPr>
          <w:rFonts w:ascii="Times New Roman" w:eastAsia="MinionPro-Regular" w:hAnsi="Times New Roman"/>
          <w:lang w:eastAsia="en-US"/>
        </w:rPr>
        <w:t xml:space="preserve"> gli equivalenti dati stimati al 2022 indicano un ASR di 0,7 per 100.000 nei maschi e 0,8 per 100.000 donne con una stima dei decessi totali nel 2022 di 563 (214 maschi e 349 donne). In Campania</w:t>
      </w:r>
      <w:r w:rsidRPr="003F6D44">
        <w:rPr>
          <w:rFonts w:ascii="Times New Roman" w:eastAsia="MinionPro-Regular" w:hAnsi="Times New Roman"/>
          <w:vertAlign w:val="superscript"/>
          <w:lang w:eastAsia="en-US"/>
        </w:rPr>
        <w:t>2,</w:t>
      </w:r>
      <w:r w:rsidRPr="003F6D44">
        <w:rPr>
          <w:rFonts w:ascii="Times New Roman" w:eastAsia="MinionPro-Regular" w:hAnsi="Times New Roman"/>
          <w:lang w:eastAsia="en-US"/>
        </w:rPr>
        <w:t xml:space="preserve"> </w:t>
      </w:r>
      <w:bookmarkEnd w:id="2"/>
      <w:r w:rsidRPr="003F6D44">
        <w:rPr>
          <w:rFonts w:ascii="Times New Roman" w:eastAsia="MinionPro-Regular" w:hAnsi="Times New Roman"/>
          <w:lang w:eastAsia="en-US"/>
        </w:rPr>
        <w:t xml:space="preserve">nel quinquennio 2015/2019, è stato rilevato un ASR di mortalità di 0,7 per 100.000 nei maschi e 0,7 per 100.000 nelle donne. </w:t>
      </w:r>
    </w:p>
    <w:p w:rsidR="004A2366" w:rsidRPr="003F6D44" w:rsidRDefault="004A2366" w:rsidP="003F6D44">
      <w:pPr>
        <w:spacing w:after="93" w:line="360" w:lineRule="auto"/>
        <w:ind w:left="72" w:right="569" w:hanging="10"/>
        <w:jc w:val="both"/>
        <w:rPr>
          <w:rFonts w:ascii="Times New Roman" w:eastAsia="MinionPro-Regular" w:hAnsi="Times New Roman"/>
          <w:lang w:eastAsia="en-US"/>
        </w:rPr>
      </w:pPr>
    </w:p>
    <w:p w:rsidR="004A2366" w:rsidRPr="003F6D44" w:rsidRDefault="004A2366" w:rsidP="003F6D44">
      <w:pPr>
        <w:autoSpaceDE w:val="0"/>
        <w:autoSpaceDN w:val="0"/>
        <w:adjustRightInd w:val="0"/>
        <w:spacing w:before="100" w:after="100" w:line="360" w:lineRule="auto"/>
        <w:jc w:val="both"/>
        <w:rPr>
          <w:rFonts w:ascii="Times New Roman" w:eastAsia="MinionPro-Regular" w:hAnsi="Times New Roman"/>
          <w:lang w:eastAsia="en-US"/>
        </w:rPr>
      </w:pPr>
      <w:r w:rsidRPr="003F6D44">
        <w:rPr>
          <w:rFonts w:ascii="Times New Roman" w:eastAsia="MinionPro-Regular" w:hAnsi="Times New Roman"/>
          <w:b/>
          <w:bCs/>
          <w:lang w:eastAsia="en-US"/>
        </w:rPr>
        <w:t>Sopravvivenz</w:t>
      </w:r>
      <w:r w:rsidRPr="003F6D44">
        <w:rPr>
          <w:rFonts w:ascii="Times New Roman" w:eastAsia="MinionPro-Regular" w:hAnsi="Times New Roman"/>
          <w:lang w:eastAsia="en-US"/>
        </w:rPr>
        <w:t>a</w:t>
      </w:r>
    </w:p>
    <w:p w:rsidR="004A2366" w:rsidRPr="003F6D44" w:rsidRDefault="004A2366" w:rsidP="003F6D44">
      <w:pPr>
        <w:autoSpaceDE w:val="0"/>
        <w:autoSpaceDN w:val="0"/>
        <w:adjustRightInd w:val="0"/>
        <w:spacing w:before="100" w:after="100" w:line="360" w:lineRule="auto"/>
        <w:jc w:val="both"/>
        <w:rPr>
          <w:rFonts w:ascii="Times New Roman" w:eastAsia="Calibri" w:hAnsi="Times New Roman"/>
          <w:lang w:eastAsia="en-US"/>
        </w:rPr>
      </w:pPr>
      <w:r w:rsidRPr="003F6D44">
        <w:rPr>
          <w:rFonts w:ascii="Times New Roman" w:eastAsia="MinionPro-Regular" w:hAnsi="Times New Roman"/>
          <w:lang w:eastAsia="en-US"/>
        </w:rPr>
        <w:t>La sopravvivenza in Italia per tumore della tiroide</w:t>
      </w:r>
      <w:r w:rsidRPr="003F6D44">
        <w:rPr>
          <w:rFonts w:ascii="Times New Roman" w:eastAsia="MinionPro-Regular" w:hAnsi="Times New Roman"/>
          <w:vertAlign w:val="superscript"/>
          <w:lang w:eastAsia="en-US"/>
        </w:rPr>
        <w:footnoteReference w:id="3"/>
      </w:r>
      <w:r w:rsidRPr="003F6D44">
        <w:rPr>
          <w:rFonts w:ascii="Times New Roman" w:eastAsia="MinionPro-Regular" w:hAnsi="Times New Roman"/>
          <w:lang w:eastAsia="en-US"/>
        </w:rPr>
        <w:t xml:space="preserve"> a 5 anni dalla diagnosi è pari al 92% negli uomini e 96% nelle donne;</w:t>
      </w:r>
      <w:r w:rsidRPr="003F6D44">
        <w:rPr>
          <w:rFonts w:ascii="Times New Roman" w:eastAsia="Calibri" w:hAnsi="Times New Roman"/>
          <w:lang w:eastAsia="en-US"/>
        </w:rPr>
        <w:t xml:space="preserve"> la Campania presenta una sopravvivenza in linea con i dati nazionali, per entrambi i generi. </w:t>
      </w:r>
    </w:p>
    <w:p w:rsidR="004A2366" w:rsidRPr="003F6D44" w:rsidRDefault="004A2366" w:rsidP="003F6D44">
      <w:pPr>
        <w:autoSpaceDE w:val="0"/>
        <w:autoSpaceDN w:val="0"/>
        <w:adjustRightInd w:val="0"/>
        <w:spacing w:before="100" w:after="100" w:line="360" w:lineRule="auto"/>
        <w:jc w:val="both"/>
        <w:rPr>
          <w:rFonts w:ascii="Times New Roman" w:eastAsia="MinionPro-Regular" w:hAnsi="Times New Roman"/>
          <w:lang w:eastAsia="en-US"/>
        </w:rPr>
      </w:pPr>
    </w:p>
    <w:p w:rsidR="004A2366" w:rsidRPr="003F6D44" w:rsidRDefault="004A2366" w:rsidP="003F6D44">
      <w:pPr>
        <w:autoSpaceDE w:val="0"/>
        <w:autoSpaceDN w:val="0"/>
        <w:adjustRightInd w:val="0"/>
        <w:spacing w:before="100" w:after="100" w:line="360" w:lineRule="auto"/>
        <w:jc w:val="both"/>
        <w:rPr>
          <w:rFonts w:ascii="Times New Roman" w:eastAsia="MinionPro-Regular" w:hAnsi="Times New Roman"/>
          <w:b/>
          <w:bCs/>
          <w:lang w:eastAsia="en-US"/>
        </w:rPr>
      </w:pPr>
      <w:r w:rsidRPr="003F6D44">
        <w:rPr>
          <w:rFonts w:ascii="Times New Roman" w:eastAsia="MinionPro-Regular" w:hAnsi="Times New Roman"/>
          <w:b/>
          <w:bCs/>
          <w:lang w:eastAsia="en-US"/>
        </w:rPr>
        <w:t>Percorsi diagnostico clinici dei pazienti residenti in Regione Campania</w:t>
      </w:r>
      <w:r w:rsidRPr="003F6D44">
        <w:rPr>
          <w:rFonts w:ascii="Times New Roman" w:eastAsia="MinionPro-Regular" w:hAnsi="Times New Roman"/>
          <w:lang w:eastAsia="en-US"/>
        </w:rPr>
        <w:t xml:space="preserve"> </w:t>
      </w:r>
    </w:p>
    <w:p w:rsidR="004A2366" w:rsidRPr="003F6D44" w:rsidRDefault="004A2366" w:rsidP="003F6D44">
      <w:pPr>
        <w:autoSpaceDE w:val="0"/>
        <w:autoSpaceDN w:val="0"/>
        <w:adjustRightInd w:val="0"/>
        <w:spacing w:before="100" w:after="80" w:line="360" w:lineRule="auto"/>
        <w:jc w:val="both"/>
        <w:rPr>
          <w:rFonts w:ascii="Times New Roman" w:eastAsia="MinionPro-Regular" w:hAnsi="Times New Roman"/>
          <w:lang w:eastAsia="en-US"/>
        </w:rPr>
      </w:pPr>
      <w:r w:rsidRPr="003F6D44">
        <w:rPr>
          <w:rFonts w:ascii="Times New Roman" w:eastAsia="MinionPro-Regular" w:hAnsi="Times New Roman"/>
          <w:lang w:eastAsia="en-US"/>
        </w:rPr>
        <w:t xml:space="preserve">Nel corso dell’anno 2022 sono stati trattati chirurgicamente per tumore della tiroide </w:t>
      </w:r>
      <w:bookmarkStart w:id="4" w:name="_Hlk138756146"/>
      <w:r w:rsidRPr="003F6D44">
        <w:rPr>
          <w:rFonts w:ascii="Times New Roman" w:eastAsia="MinionPro-Regular" w:hAnsi="Times New Roman"/>
          <w:lang w:eastAsia="en-US"/>
        </w:rPr>
        <w:t xml:space="preserve">923 pazienti residenti in Campania; di tali pazienti 707 (76,6% della casistica) sono stati trattati in 41 diverse strutture regionali di diagnosi e cura e 216 (23,4 % della casistica) sono stati trattati in ulteriori 31diverse strutture extraregionali. </w:t>
      </w:r>
    </w:p>
    <w:p w:rsidR="004A2366" w:rsidRPr="003F6D44" w:rsidRDefault="004A2366" w:rsidP="003F6D44">
      <w:pPr>
        <w:autoSpaceDE w:val="0"/>
        <w:autoSpaceDN w:val="0"/>
        <w:adjustRightInd w:val="0"/>
        <w:spacing w:before="100" w:after="80" w:line="360" w:lineRule="auto"/>
        <w:jc w:val="both"/>
        <w:rPr>
          <w:rFonts w:ascii="Times New Roman" w:eastAsia="MinionPro-Regular" w:hAnsi="Times New Roman"/>
          <w:lang w:eastAsia="en-US"/>
        </w:rPr>
      </w:pPr>
      <w:bookmarkStart w:id="5" w:name="_Hlk138531965"/>
      <w:bookmarkEnd w:id="4"/>
      <w:r w:rsidRPr="003F6D44">
        <w:rPr>
          <w:rFonts w:ascii="Times New Roman" w:eastAsia="MinionPro-Regular" w:hAnsi="Times New Roman"/>
          <w:lang w:eastAsia="en-US"/>
        </w:rPr>
        <w:t xml:space="preserve">Tale importante mobilità passiva per chirurgia dei tumori tiroidei, oltre alla frammentazione dei percorsi di diagnosi e cura, sia a livello regionale che extraregionale, ha subito una netta riduzione nell’anno Covid, rispetto al triennio immediatamente precedente (19,2% contro il 26,1% del triennio 2017/2017), ma ha poi ripreso ad aumentare nel 2021 (19,9%) e nel 2022 con un incremento di 4,4 punti percentuali rispetto al 2020. </w:t>
      </w:r>
      <w:bookmarkEnd w:id="5"/>
    </w:p>
    <w:p w:rsidR="004A2366" w:rsidRPr="003F6D44" w:rsidRDefault="004A2366" w:rsidP="003F6D44">
      <w:pPr>
        <w:spacing w:before="100" w:after="100" w:line="360" w:lineRule="auto"/>
        <w:jc w:val="both"/>
        <w:rPr>
          <w:rFonts w:ascii="Times New Roman" w:eastAsia="MinionPro-Regular" w:hAnsi="Times New Roman"/>
        </w:rPr>
      </w:pPr>
      <w:r w:rsidRPr="003F6D44">
        <w:rPr>
          <w:rFonts w:ascii="Times New Roman" w:eastAsia="MinionPro-Regular" w:hAnsi="Times New Roman"/>
          <w:lang w:eastAsia="en-US"/>
        </w:rPr>
        <w:t xml:space="preserve">Tale andamento suggerisce un attento monitoraggio dei percorsi di diagnosi e cura, oltre all’attivazione di possibili meccanismi correttivi nell’ambito della Rete Oncologica regionale, per meglio impattare sulla migrazione extraregionale, oltre che sulla qualità dei percorsi assistenziali </w:t>
      </w:r>
      <w:r w:rsidRPr="003F6D44">
        <w:rPr>
          <w:rFonts w:ascii="Times New Roman" w:eastAsia="MinionPro-Regular" w:hAnsi="Times New Roman"/>
        </w:rPr>
        <w:t>dei tumori tiroidei.</w:t>
      </w:r>
    </w:p>
    <w:p w:rsidR="004A2366" w:rsidRPr="003F6D44" w:rsidRDefault="004A2366" w:rsidP="003F6D44">
      <w:pPr>
        <w:autoSpaceDE w:val="0"/>
        <w:autoSpaceDN w:val="0"/>
        <w:adjustRightInd w:val="0"/>
        <w:spacing w:before="100" w:after="80" w:line="360" w:lineRule="auto"/>
        <w:jc w:val="both"/>
        <w:rPr>
          <w:rFonts w:ascii="Times New Roman" w:eastAsia="MinionPro-Regular" w:hAnsi="Times New Roman"/>
          <w:lang w:eastAsia="en-US"/>
        </w:rPr>
      </w:pPr>
      <w:r w:rsidRPr="003F6D44">
        <w:rPr>
          <w:rFonts w:ascii="Times New Roman" w:eastAsia="MinionPro-Regular" w:hAnsi="Times New Roman"/>
          <w:lang w:eastAsia="en-US"/>
        </w:rPr>
        <w:t>La Rete Oncologica Regionale ha identificato, nel dicembre del 2023, 37 strutture regionali abilitate ad entrare in Rete, in osservazione triennale 2023/2025, per la chirurgia dei tumori della tiroide</w:t>
      </w:r>
      <w:r w:rsidRPr="003F6D44">
        <w:rPr>
          <w:rFonts w:ascii="Times New Roman" w:eastAsia="MinionPro-Regular" w:hAnsi="Times New Roman"/>
          <w:vertAlign w:val="superscript"/>
          <w:lang w:eastAsia="en-US"/>
        </w:rPr>
        <w:footnoteReference w:id="4"/>
      </w:r>
      <w:r w:rsidRPr="003F6D44">
        <w:rPr>
          <w:rFonts w:ascii="Times New Roman" w:eastAsia="MinionPro-Regular" w:hAnsi="Times New Roman"/>
          <w:lang w:eastAsia="en-US"/>
        </w:rPr>
        <w:t>.</w:t>
      </w:r>
    </w:p>
    <w:p w:rsidR="004A2366" w:rsidRPr="003F6D44" w:rsidRDefault="004A2366" w:rsidP="003F6D44">
      <w:pPr>
        <w:spacing w:before="100" w:after="100" w:line="360" w:lineRule="auto"/>
        <w:jc w:val="both"/>
        <w:rPr>
          <w:rFonts w:ascii="Times New Roman" w:eastAsia="MinionPro-Regular" w:hAnsi="Times New Roman"/>
          <w:lang w:eastAsia="en-US"/>
        </w:rPr>
      </w:pPr>
      <w:r w:rsidRPr="003F6D44">
        <w:rPr>
          <w:rFonts w:ascii="Times New Roman" w:eastAsia="MinionPro-Regular" w:hAnsi="Times New Roman"/>
          <w:lang w:eastAsia="en-US"/>
        </w:rPr>
        <w:t>Per la distribuzione delle strutture sul territorio regionale vedi mappa sotto riportata.</w:t>
      </w:r>
    </w:p>
    <w:p w:rsidR="004A2366" w:rsidRPr="003F6D44" w:rsidRDefault="004A2366" w:rsidP="003F6D44">
      <w:pPr>
        <w:spacing w:before="100" w:after="100" w:line="360" w:lineRule="auto"/>
        <w:jc w:val="both"/>
        <w:rPr>
          <w:rFonts w:ascii="Times New Roman" w:eastAsia="MinionPro-Regular" w:hAnsi="Times New Roman"/>
          <w:lang w:eastAsia="en-US"/>
        </w:rPr>
      </w:pPr>
    </w:p>
    <w:p w:rsidR="004A2366" w:rsidRPr="003F6D44" w:rsidRDefault="004A2366" w:rsidP="003F6D44">
      <w:pPr>
        <w:tabs>
          <w:tab w:val="left" w:pos="1055"/>
        </w:tabs>
        <w:spacing w:line="360" w:lineRule="auto"/>
        <w:jc w:val="both"/>
        <w:rPr>
          <w:rFonts w:ascii="Times New Roman" w:hAnsi="Times New Roman"/>
          <w:b/>
        </w:rPr>
      </w:pPr>
      <w:r w:rsidRPr="003F6D44">
        <w:rPr>
          <w:rFonts w:ascii="Times New Roman" w:hAnsi="Times New Roman"/>
          <w:noProof/>
          <w:lang w:eastAsia="it-IT"/>
        </w:rPr>
        <w:drawing>
          <wp:inline distT="0" distB="0" distL="0" distR="0" wp14:anchorId="748A41B3" wp14:editId="77077805">
            <wp:extent cx="6116320" cy="4945711"/>
            <wp:effectExtent l="0" t="0" r="0" b="7620"/>
            <wp:docPr id="8508668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66849" name=""/>
                    <pic:cNvPicPr/>
                  </pic:nvPicPr>
                  <pic:blipFill>
                    <a:blip r:embed="rId27"/>
                    <a:stretch>
                      <a:fillRect/>
                    </a:stretch>
                  </pic:blipFill>
                  <pic:spPr>
                    <a:xfrm>
                      <a:off x="0" y="0"/>
                      <a:ext cx="6118928" cy="4947820"/>
                    </a:xfrm>
                    <a:prstGeom prst="rect">
                      <a:avLst/>
                    </a:prstGeom>
                  </pic:spPr>
                </pic:pic>
              </a:graphicData>
            </a:graphic>
          </wp:inline>
        </w:drawing>
      </w:r>
    </w:p>
    <w:p w:rsidR="004A2366" w:rsidRPr="003F6D44" w:rsidRDefault="004A2366" w:rsidP="003F6D44">
      <w:pPr>
        <w:tabs>
          <w:tab w:val="left" w:pos="1055"/>
        </w:tabs>
        <w:spacing w:line="360" w:lineRule="auto"/>
        <w:jc w:val="both"/>
        <w:rPr>
          <w:rFonts w:ascii="Times New Roman" w:hAnsi="Times New Roman"/>
          <w:b/>
        </w:rPr>
      </w:pPr>
    </w:p>
    <w:p w:rsidR="005D016D" w:rsidRDefault="005D016D" w:rsidP="005D016D">
      <w:pPr>
        <w:spacing w:before="100" w:after="100" w:line="360" w:lineRule="auto"/>
        <w:rPr>
          <w:rFonts w:ascii="Times New Roman" w:eastAsia="Times New Roman" w:hAnsi="Times New Roman"/>
          <w:b/>
        </w:rPr>
      </w:pPr>
      <w:r>
        <w:rPr>
          <w:rFonts w:ascii="Times New Roman" w:eastAsia="Times New Roman" w:hAnsi="Times New Roman"/>
          <w:b/>
        </w:rPr>
        <w:t xml:space="preserve">La mappa è in fase di revisione in base alla valutazione annuale del Decreto n.477 del 4 novembre 2021 </w:t>
      </w:r>
      <w:r w:rsidRPr="0058334A">
        <w:rPr>
          <w:rFonts w:ascii="Times New Roman" w:eastAsia="Times New Roman" w:hAnsi="Times New Roman"/>
          <w:b/>
        </w:rPr>
        <w:t>attuato con Delibera 272 del 7.6.2022</w:t>
      </w:r>
      <w:r>
        <w:rPr>
          <w:rFonts w:ascii="Times New Roman" w:eastAsia="Times New Roman" w:hAnsi="Times New Roman"/>
          <w:b/>
        </w:rPr>
        <w:t>. Gli aggiornamenti della mappa saranno pubblicati sul sito della Rete Oncologica Campana (</w:t>
      </w:r>
      <w:hyperlink r:id="rId28" w:history="1">
        <w:r w:rsidRPr="008B6A72">
          <w:rPr>
            <w:rStyle w:val="Collegamentoipertestuale"/>
            <w:rFonts w:ascii="Times New Roman" w:eastAsia="Times New Roman" w:hAnsi="Times New Roman"/>
            <w:b/>
          </w:rPr>
          <w:t>https://www.reteoncologicacampana.it/</w:t>
        </w:r>
      </w:hyperlink>
      <w:r>
        <w:rPr>
          <w:rFonts w:ascii="Times New Roman" w:eastAsia="Times New Roman" w:hAnsi="Times New Roman"/>
          <w:b/>
        </w:rPr>
        <w:t>)</w:t>
      </w:r>
    </w:p>
    <w:p w:rsidR="004A2366" w:rsidRDefault="004A2366" w:rsidP="003F6D44">
      <w:pPr>
        <w:tabs>
          <w:tab w:val="left" w:pos="1055"/>
        </w:tabs>
        <w:spacing w:line="360" w:lineRule="auto"/>
        <w:jc w:val="both"/>
        <w:rPr>
          <w:rFonts w:ascii="Times New Roman" w:hAnsi="Times New Roman"/>
          <w:b/>
        </w:rPr>
      </w:pPr>
    </w:p>
    <w:p w:rsidR="005D016D" w:rsidRPr="003F6D44" w:rsidRDefault="005D016D" w:rsidP="003F6D44">
      <w:pPr>
        <w:tabs>
          <w:tab w:val="left" w:pos="1055"/>
        </w:tabs>
        <w:spacing w:line="360" w:lineRule="auto"/>
        <w:jc w:val="both"/>
        <w:rPr>
          <w:rFonts w:ascii="Times New Roman" w:hAnsi="Times New Roman"/>
          <w:b/>
        </w:rPr>
      </w:pPr>
    </w:p>
    <w:p w:rsidR="004A2366" w:rsidRPr="003F6D44" w:rsidRDefault="004A2366" w:rsidP="003F6D44">
      <w:pPr>
        <w:tabs>
          <w:tab w:val="left" w:pos="1055"/>
        </w:tabs>
        <w:spacing w:line="360" w:lineRule="auto"/>
        <w:jc w:val="both"/>
        <w:rPr>
          <w:rFonts w:ascii="Times New Roman" w:hAnsi="Times New Roman"/>
          <w:b/>
        </w:rPr>
      </w:pPr>
    </w:p>
    <w:p w:rsidR="004A2366" w:rsidRPr="003F6D44" w:rsidRDefault="004A2366" w:rsidP="003F6D44">
      <w:pPr>
        <w:tabs>
          <w:tab w:val="left" w:pos="1055"/>
        </w:tabs>
        <w:spacing w:line="360" w:lineRule="auto"/>
        <w:jc w:val="both"/>
        <w:rPr>
          <w:rFonts w:ascii="Times New Roman" w:hAnsi="Times New Roman"/>
          <w:b/>
        </w:rPr>
      </w:pPr>
      <w:r w:rsidRPr="003F6D44">
        <w:rPr>
          <w:rFonts w:ascii="Times New Roman" w:hAnsi="Times New Roman"/>
          <w:b/>
        </w:rPr>
        <w:t>PERCORSO PER SEGMENTAZIONE</w:t>
      </w:r>
    </w:p>
    <w:p w:rsidR="004A2366" w:rsidRPr="003F6D44" w:rsidRDefault="004A2366" w:rsidP="003F6D44">
      <w:pPr>
        <w:pStyle w:val="Elencoacolori-Colore11"/>
        <w:numPr>
          <w:ilvl w:val="0"/>
          <w:numId w:val="1"/>
        </w:numPr>
        <w:tabs>
          <w:tab w:val="left" w:pos="1055"/>
        </w:tabs>
        <w:spacing w:line="360" w:lineRule="auto"/>
        <w:jc w:val="both"/>
        <w:rPr>
          <w:rFonts w:ascii="Times New Roman" w:hAnsi="Times New Roman"/>
        </w:rPr>
      </w:pPr>
      <w:r w:rsidRPr="003F6D44">
        <w:rPr>
          <w:rFonts w:ascii="Times New Roman" w:hAnsi="Times New Roman"/>
        </w:rPr>
        <w:t>Percorso diagnostico-gestionale per persone con patologia tiroidea nodulare di recente scoperta</w:t>
      </w:r>
    </w:p>
    <w:p w:rsidR="004A2366" w:rsidRPr="003F6D44" w:rsidRDefault="004A2366" w:rsidP="003F6D44">
      <w:pPr>
        <w:pStyle w:val="Elencoacolori-Colore11"/>
        <w:numPr>
          <w:ilvl w:val="0"/>
          <w:numId w:val="1"/>
        </w:numPr>
        <w:tabs>
          <w:tab w:val="left" w:pos="1055"/>
        </w:tabs>
        <w:spacing w:line="360" w:lineRule="auto"/>
        <w:jc w:val="both"/>
        <w:rPr>
          <w:rFonts w:ascii="Times New Roman" w:hAnsi="Times New Roman"/>
        </w:rPr>
      </w:pPr>
      <w:r w:rsidRPr="003F6D44">
        <w:rPr>
          <w:rFonts w:ascii="Times New Roman" w:hAnsi="Times New Roman"/>
        </w:rPr>
        <w:t>Percorso terapeutico per persone con patologia tiroidea nodulare sospetta di malignità</w:t>
      </w:r>
    </w:p>
    <w:p w:rsidR="004A2366" w:rsidRPr="003F6D44" w:rsidRDefault="004A2366" w:rsidP="003F6D44">
      <w:pPr>
        <w:pStyle w:val="Paragrafoelenco"/>
        <w:numPr>
          <w:ilvl w:val="0"/>
          <w:numId w:val="1"/>
        </w:numPr>
        <w:spacing w:line="360" w:lineRule="auto"/>
        <w:jc w:val="both"/>
        <w:rPr>
          <w:rFonts w:ascii="Times New Roman" w:eastAsia="Yu Mincho" w:hAnsi="Times New Roman"/>
          <w:sz w:val="24"/>
          <w:szCs w:val="24"/>
          <w:lang w:eastAsia="ja-JP"/>
        </w:rPr>
      </w:pPr>
      <w:r w:rsidRPr="003F6D44">
        <w:rPr>
          <w:rFonts w:ascii="Times New Roman" w:eastAsia="Yu Mincho" w:hAnsi="Times New Roman"/>
          <w:sz w:val="24"/>
          <w:szCs w:val="24"/>
          <w:lang w:eastAsia="ja-JP"/>
        </w:rPr>
        <w:t>Percorso terapeutico per persone con cancro tiroideo avanzato</w:t>
      </w:r>
    </w:p>
    <w:p w:rsidR="004A2366" w:rsidRPr="003F6D44" w:rsidRDefault="004A2366" w:rsidP="003F6D44">
      <w:pPr>
        <w:pStyle w:val="Elencoacolori-Colore11"/>
        <w:tabs>
          <w:tab w:val="left" w:pos="1055"/>
        </w:tabs>
        <w:spacing w:after="240" w:line="360" w:lineRule="auto"/>
        <w:ind w:left="0"/>
        <w:jc w:val="both"/>
        <w:rPr>
          <w:rFonts w:ascii="Times New Roman" w:hAnsi="Times New Roman"/>
        </w:rPr>
      </w:pPr>
      <w:r w:rsidRPr="003F6D44">
        <w:rPr>
          <w:rFonts w:ascii="Times New Roman" w:hAnsi="Times New Roman"/>
        </w:rPr>
        <w:t>I percorsi sono stati indicati secondo l’iter previsto dalle principali linee guida nazionali (AIOM, SIE, SIUEC, AME) ed internazionali (ATA, ESMO, ASCO, NCCN) e saranno aggiornate nel tempo secondo la loro evoluzione.</w:t>
      </w:r>
    </w:p>
    <w:p w:rsidR="00FF6BDE" w:rsidRPr="003F6D44" w:rsidRDefault="00770A13" w:rsidP="003F6D44">
      <w:pPr>
        <w:tabs>
          <w:tab w:val="left" w:pos="1055"/>
        </w:tabs>
        <w:spacing w:line="360" w:lineRule="auto"/>
        <w:jc w:val="both"/>
        <w:rPr>
          <w:rFonts w:ascii="Times New Roman" w:hAnsi="Times New Roman"/>
          <w:b/>
          <w:caps/>
        </w:rPr>
      </w:pPr>
      <w:r w:rsidRPr="003F6D44">
        <w:rPr>
          <w:rFonts w:ascii="Times New Roman" w:hAnsi="Times New Roman"/>
          <w:b/>
          <w:caps/>
        </w:rPr>
        <w:t>Percorso diagnostico-GESTIONALE per persone con patologia tiroidea nodulare DI RECENTE SCOPERTA</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xml:space="preserve">Donne ed uomini adulti, con recente scoperta di patologia tiroidea nodulare </w:t>
      </w:r>
      <w:r w:rsidR="000B2C37" w:rsidRPr="003F6D44">
        <w:rPr>
          <w:rFonts w:ascii="Times New Roman" w:hAnsi="Times New Roman"/>
        </w:rPr>
        <w:t xml:space="preserve">sospetta di malignità o con diagnosi di malignità </w:t>
      </w:r>
      <w:r w:rsidRPr="003F6D44">
        <w:rPr>
          <w:rFonts w:ascii="Times New Roman" w:hAnsi="Times New Roman"/>
        </w:rPr>
        <w:t>dovranno afferire autonomamente o opportunamente indirizzati dal proprio medico di Medicina Generale (MMG) o altro medico specialista di riferimento presso un centro oncologico di II livello [Centro Oncologico Regionale Polispecialistico (CORP) o Centro Oncologico di Riferimento Polispecialistico Universitario o a carattere Scientifico (CORPUS), o al Centro Endocrinologico Universitario] per la gestione diagnostico-terapeutica del caso da parte del Gruppo Oncologico Multidisciplinare (GOM) specifico per la patologia tumorale tiroidea. Il paziente effettuerà la prima visita necessaria per l’inquadramento del problema presso un ambulatorio dedicato. La Presa in Carico del paziente nella sua globalità prevede l’integrazione di più professionisti (endocrinologo, radiologo, anatomo-patologo, citopatologo, biologo molecolare, chirurgo endocrino, medico nucleare, oncologo, radioterapista,</w:t>
      </w:r>
      <w:r w:rsidR="000B2C37" w:rsidRPr="003F6D44">
        <w:rPr>
          <w:rFonts w:ascii="Times New Roman" w:hAnsi="Times New Roman"/>
        </w:rPr>
        <w:t xml:space="preserve"> </w:t>
      </w:r>
      <w:r w:rsidRPr="003F6D44">
        <w:rPr>
          <w:rFonts w:ascii="Times New Roman" w:hAnsi="Times New Roman"/>
        </w:rPr>
        <w:t xml:space="preserve">genetista e psiconcologo). L’infermiere </w:t>
      </w:r>
      <w:r w:rsidRPr="003F6D44">
        <w:rPr>
          <w:rFonts w:ascii="Times New Roman" w:hAnsi="Times New Roman"/>
          <w:i/>
        </w:rPr>
        <w:t>Case Manager</w:t>
      </w:r>
      <w:r w:rsidRPr="003F6D44">
        <w:rPr>
          <w:rFonts w:ascii="Times New Roman" w:hAnsi="Times New Roman"/>
        </w:rPr>
        <w:t xml:space="preserve"> incaricato dal GOM </w:t>
      </w:r>
      <w:r w:rsidR="000B2C37" w:rsidRPr="003F6D44">
        <w:rPr>
          <w:rFonts w:ascii="Times New Roman" w:hAnsi="Times New Roman"/>
        </w:rPr>
        <w:t xml:space="preserve">e/o il medico di accoglienza del GOM </w:t>
      </w:r>
      <w:r w:rsidRPr="003F6D44">
        <w:rPr>
          <w:rFonts w:ascii="Times New Roman" w:hAnsi="Times New Roman"/>
        </w:rPr>
        <w:t xml:space="preserve">si </w:t>
      </w:r>
      <w:r w:rsidR="000B2C37" w:rsidRPr="003F6D44">
        <w:rPr>
          <w:rFonts w:ascii="Times New Roman" w:hAnsi="Times New Roman"/>
        </w:rPr>
        <w:t xml:space="preserve">occuperanno </w:t>
      </w:r>
      <w:r w:rsidRPr="003F6D44">
        <w:rPr>
          <w:rFonts w:ascii="Times New Roman" w:hAnsi="Times New Roman"/>
        </w:rPr>
        <w:t>della organizzazione e prenotazione degli esami e delle visite che si renderanno necessarie nell’iter diagnostico-gestionale. Tali esami/visite saranno effettuati nel contesto della Rete interna alla struttura o, su indicazione degli specialisti del GOM, presso le strutture della Rete Oncologica Regionale. L’iter diagnostico-gestionale della patologia nodulare tiroidea è riportato in Mappa 1.</w:t>
      </w:r>
    </w:p>
    <w:p w:rsidR="00FF6BDE" w:rsidRPr="003F6D44" w:rsidRDefault="00FF6BDE" w:rsidP="003F6D44">
      <w:pPr>
        <w:tabs>
          <w:tab w:val="left" w:pos="1055"/>
        </w:tabs>
        <w:spacing w:line="360" w:lineRule="auto"/>
        <w:jc w:val="both"/>
        <w:rPr>
          <w:rFonts w:ascii="Times New Roman" w:hAnsi="Times New Roman"/>
        </w:rPr>
      </w:pP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xml:space="preserve">L’inquadramento diagnostico della patologia tiroidea nodulare prevede, in prima istanza, una corretta anamnesi ed un adeguato esame clinico. Questa fase è, infatti, cruciale per indirizzare le successive indagini laboratoristiche e strumentali. </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xml:space="preserve">Gli elementi anamnestici più rilevanti comprendono: </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xml:space="preserve">A. Esposizione a radiazioni ionizzanti in particolare durante l’infanzia o l’adolescenza (es.  irradiazione cervicale o </w:t>
      </w:r>
      <w:r w:rsidRPr="003F6D44">
        <w:rPr>
          <w:rFonts w:ascii="Times New Roman" w:hAnsi="Times New Roman"/>
          <w:i/>
        </w:rPr>
        <w:t>total body</w:t>
      </w:r>
      <w:r w:rsidRPr="003F6D44">
        <w:rPr>
          <w:rFonts w:ascii="Times New Roman" w:hAnsi="Times New Roman"/>
        </w:rPr>
        <w:t xml:space="preserve"> per trapianto di midollo o l’aver risieduto in zone interessate da incidenti nucleari;</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xml:space="preserve">B. Familiarità (parenti di I grado affetti) per carcinoma tiroideo (differenziato o midollare) ovvero per codificate sindromi ereditarie che includano il carcinoma della tiroide (es. sindrome di </w:t>
      </w:r>
      <w:r w:rsidRPr="003F6D44">
        <w:rPr>
          <w:rFonts w:ascii="Times New Roman" w:hAnsi="Times New Roman"/>
          <w:i/>
        </w:rPr>
        <w:t>Cowden</w:t>
      </w:r>
      <w:r w:rsidRPr="003F6D44">
        <w:rPr>
          <w:rFonts w:ascii="Times New Roman" w:hAnsi="Times New Roman"/>
        </w:rPr>
        <w:t xml:space="preserve">, poliposi adenomatosa familiare, complesso di </w:t>
      </w:r>
      <w:r w:rsidRPr="003F6D44">
        <w:rPr>
          <w:rFonts w:ascii="Times New Roman" w:hAnsi="Times New Roman"/>
          <w:i/>
        </w:rPr>
        <w:t>Carney</w:t>
      </w:r>
      <w:r w:rsidRPr="003F6D44">
        <w:rPr>
          <w:rFonts w:ascii="Times New Roman" w:hAnsi="Times New Roman"/>
        </w:rPr>
        <w:t xml:space="preserve">, MEN 2, sindrome di </w:t>
      </w:r>
      <w:r w:rsidRPr="003F6D44">
        <w:rPr>
          <w:rFonts w:ascii="Times New Roman" w:hAnsi="Times New Roman"/>
          <w:i/>
        </w:rPr>
        <w:t>Werner</w:t>
      </w:r>
      <w:r w:rsidRPr="003F6D44">
        <w:rPr>
          <w:rFonts w:ascii="Times New Roman" w:hAnsi="Times New Roman"/>
        </w:rPr>
        <w:t>, ecc.).</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L’esame clinico include la palpazione del collo e la ricerca di sintomi/segni suggestivi di cancro tiroideo.</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Gli elementi salienti da rilevare all’esame clinico sono i seguenti:</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A. Palpabilità dei noduli;</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B. Laddove palpabili, valutazione della consistenza e della mobilità rispetto alle strutture anatomiche circostanti;</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C. Palpabilità di linfonodi latero-cervicali;</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D. Presenza di raucedine (potenzialmente suggestiva di infiltrazione del nervo laringeo ricorrente);</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E. Presenza di disfagia o “discomfort” alla regione anteriore del collo (potenzialmente suggestiva del carattere infiltrativo e quindi neoplastico del nodulo).</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Altri elementi clinici da valutare:</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A. Sesso: i maschi portatori di noduli tiroidei hanno rischio aumentato di cancro;</w:t>
      </w:r>
    </w:p>
    <w:p w:rsidR="000B4861"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B. Età: il rischio di cancro è maggiore per le fasce “estreme” (&lt;20 aa e &gt;60 anni)</w:t>
      </w:r>
    </w:p>
    <w:p w:rsidR="00FF6BDE" w:rsidRPr="003F6D44" w:rsidRDefault="000B4861" w:rsidP="003F6D44">
      <w:pPr>
        <w:tabs>
          <w:tab w:val="left" w:pos="1055"/>
        </w:tabs>
        <w:spacing w:line="360" w:lineRule="auto"/>
        <w:jc w:val="both"/>
        <w:rPr>
          <w:rFonts w:ascii="Times New Roman" w:hAnsi="Times New Roman"/>
        </w:rPr>
      </w:pPr>
      <w:r w:rsidRPr="003F6D44">
        <w:rPr>
          <w:rFonts w:ascii="Times New Roman" w:hAnsi="Times New Roman"/>
        </w:rPr>
        <w:t>C. BMI e circonferenza vita</w:t>
      </w:r>
      <w:r w:rsidR="00770A13" w:rsidRPr="003F6D44">
        <w:rPr>
          <w:rFonts w:ascii="Times New Roman" w:hAnsi="Times New Roman"/>
        </w:rPr>
        <w:t xml:space="preserve">.  </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xml:space="preserve">Anche la diagnostica di laboratorio svolge un ruolo cruciale: </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xml:space="preserve">A. TSH. Il dosaggio del TSH è sempre indicato in pazienti portatori di noduli tiroidei. </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B. Calcitonina.  Il dosaggio della calcitonina</w:t>
      </w:r>
      <w:r w:rsidR="00C87098" w:rsidRPr="003F6D44">
        <w:rPr>
          <w:rFonts w:ascii="Times New Roman" w:hAnsi="Times New Roman"/>
        </w:rPr>
        <w:t xml:space="preserve"> deve essere effettuato di routine</w:t>
      </w:r>
      <w:r w:rsidRPr="003F6D44">
        <w:rPr>
          <w:rFonts w:ascii="Times New Roman" w:hAnsi="Times New Roman"/>
        </w:rPr>
        <w:t xml:space="preserve"> nei pazienti affetti da noduli tiroidei,</w:t>
      </w:r>
      <w:r w:rsidR="00C87098" w:rsidRPr="003F6D44">
        <w:rPr>
          <w:rFonts w:ascii="Times New Roman" w:hAnsi="Times New Roman"/>
        </w:rPr>
        <w:t xml:space="preserve"> </w:t>
      </w:r>
      <w:r w:rsidRPr="003F6D44">
        <w:rPr>
          <w:rFonts w:ascii="Times New Roman" w:hAnsi="Times New Roman"/>
        </w:rPr>
        <w:t>in tutt</w:t>
      </w:r>
      <w:r w:rsidR="00C87098" w:rsidRPr="003F6D44">
        <w:rPr>
          <w:rFonts w:ascii="Times New Roman" w:hAnsi="Times New Roman"/>
        </w:rPr>
        <w:t>e le Strutture afferenti al GOM. H</w:t>
      </w:r>
      <w:r w:rsidRPr="003F6D44">
        <w:rPr>
          <w:rFonts w:ascii="Times New Roman" w:hAnsi="Times New Roman"/>
        </w:rPr>
        <w:t xml:space="preserve">a il vantaggio di favorire la diagnosi precoce del carcinoma midollare della tiroide e, di conseguenza, di migliorare la sopravvivenza a </w:t>
      </w:r>
      <w:r w:rsidR="00970005" w:rsidRPr="003F6D44">
        <w:rPr>
          <w:rFonts w:ascii="Times New Roman" w:hAnsi="Times New Roman"/>
        </w:rPr>
        <w:t>10 anni. In presenza</w:t>
      </w:r>
      <w:r w:rsidR="000B4861" w:rsidRPr="003F6D44">
        <w:rPr>
          <w:rFonts w:ascii="Times New Roman" w:hAnsi="Times New Roman"/>
        </w:rPr>
        <w:t xml:space="preserve"> di valori basali di calcito</w:t>
      </w:r>
      <w:r w:rsidR="003C1BF1" w:rsidRPr="003F6D44">
        <w:rPr>
          <w:rFonts w:ascii="Times New Roman" w:hAnsi="Times New Roman"/>
        </w:rPr>
        <w:t>nina superiori o uguali a 100 pg</w:t>
      </w:r>
      <w:r w:rsidR="000B4861" w:rsidRPr="003F6D44">
        <w:rPr>
          <w:rFonts w:ascii="Times New Roman" w:hAnsi="Times New Roman"/>
        </w:rPr>
        <w:t xml:space="preserve">/ml la diagnosi di </w:t>
      </w:r>
      <w:r w:rsidR="00970005" w:rsidRPr="003F6D44">
        <w:rPr>
          <w:rFonts w:ascii="Times New Roman" w:hAnsi="Times New Roman"/>
        </w:rPr>
        <w:t>carcinoma midollare della</w:t>
      </w:r>
      <w:r w:rsidR="003C1BF1" w:rsidRPr="003F6D44">
        <w:rPr>
          <w:rFonts w:ascii="Times New Roman" w:hAnsi="Times New Roman"/>
        </w:rPr>
        <w:t xml:space="preserve"> tiroide è</w:t>
      </w:r>
      <w:r w:rsidR="000B4861" w:rsidRPr="003F6D44">
        <w:rPr>
          <w:rFonts w:ascii="Times New Roman" w:hAnsi="Times New Roman"/>
        </w:rPr>
        <w:t xml:space="preserve"> praticamente certa. In caso di valori di calcitonina superiori al range di normalità ed inferiori a 100 è consigliabile effettuare test di stimolo con calcio gluconato per</w:t>
      </w:r>
      <w:r w:rsidR="00970005" w:rsidRPr="003F6D44">
        <w:rPr>
          <w:rFonts w:ascii="Times New Roman" w:hAnsi="Times New Roman"/>
        </w:rPr>
        <w:t xml:space="preserve"> confermare la</w:t>
      </w:r>
      <w:r w:rsidR="000B4861" w:rsidRPr="003F6D44">
        <w:rPr>
          <w:rFonts w:ascii="Times New Roman" w:hAnsi="Times New Roman"/>
        </w:rPr>
        <w:t xml:space="preserve"> diagnosi di carcinoma midollare.</w:t>
      </w:r>
      <w:r w:rsidR="000B4861" w:rsidRPr="003F6D44">
        <w:rPr>
          <w:rFonts w:ascii="Times New Roman" w:hAnsi="Times New Roman"/>
        </w:rPr>
        <w:br/>
        <w:t xml:space="preserve"> Ad oggi non esiste un cut off univers</w:t>
      </w:r>
      <w:r w:rsidR="00376CA9" w:rsidRPr="003F6D44">
        <w:rPr>
          <w:rFonts w:ascii="Times New Roman" w:hAnsi="Times New Roman"/>
        </w:rPr>
        <w:t>ale  condiviso, per cui i centri</w:t>
      </w:r>
      <w:r w:rsidR="000B4861" w:rsidRPr="003F6D44">
        <w:rPr>
          <w:rFonts w:ascii="Times New Roman" w:hAnsi="Times New Roman"/>
        </w:rPr>
        <w:t xml:space="preserve"> di riferimento regionali dovranno rifarsi alla propria esperienza tenendo in considerazione anche i dati eterogenei ad oggi presenti in letteratura e</w:t>
      </w:r>
      <w:r w:rsidR="00347E22" w:rsidRPr="003F6D44">
        <w:rPr>
          <w:rFonts w:ascii="Times New Roman" w:hAnsi="Times New Roman"/>
        </w:rPr>
        <w:t xml:space="preserve"> le differenze di genere (</w:t>
      </w:r>
      <w:r w:rsidR="000B4861" w:rsidRPr="003F6D44">
        <w:rPr>
          <w:rFonts w:ascii="Times New Roman" w:hAnsi="Times New Roman"/>
        </w:rPr>
        <w:t xml:space="preserve">Fugazzola et al.; Faggiano et al). Tuttavia in caso di livelli di calcitonina stimolata &gt;500 pg/ml sembrerebbe quasi certa la diagnosi di carcinoma midollare tiroideo. </w:t>
      </w:r>
    </w:p>
    <w:p w:rsidR="00FF6BDE" w:rsidRPr="003F6D44" w:rsidRDefault="00FF6BDE" w:rsidP="003F6D44">
      <w:pPr>
        <w:tabs>
          <w:tab w:val="left" w:pos="1055"/>
        </w:tabs>
        <w:spacing w:line="360" w:lineRule="auto"/>
        <w:jc w:val="both"/>
        <w:rPr>
          <w:rFonts w:ascii="Times New Roman" w:hAnsi="Times New Roman"/>
        </w:rPr>
      </w:pPr>
    </w:p>
    <w:p w:rsidR="00FF6BDE" w:rsidRPr="003F6D44" w:rsidRDefault="00FF6BDE" w:rsidP="003F6D44">
      <w:pPr>
        <w:tabs>
          <w:tab w:val="left" w:pos="1055"/>
        </w:tabs>
        <w:spacing w:line="360" w:lineRule="auto"/>
        <w:jc w:val="both"/>
        <w:rPr>
          <w:rFonts w:ascii="Times New Roman" w:hAnsi="Times New Roman"/>
        </w:rPr>
      </w:pPr>
    </w:p>
    <w:p w:rsidR="00FF6BDE" w:rsidRPr="003F6D44" w:rsidRDefault="00FF6BDE" w:rsidP="003F6D44">
      <w:pPr>
        <w:tabs>
          <w:tab w:val="left" w:pos="1055"/>
        </w:tabs>
        <w:spacing w:line="360" w:lineRule="auto"/>
        <w:jc w:val="both"/>
        <w:rPr>
          <w:rFonts w:ascii="Times New Roman" w:hAnsi="Times New Roman"/>
        </w:rPr>
      </w:pPr>
    </w:p>
    <w:p w:rsidR="00FF6BDE" w:rsidRPr="003F6D44" w:rsidRDefault="00FF6BDE" w:rsidP="003F6D44">
      <w:pPr>
        <w:tabs>
          <w:tab w:val="left" w:pos="1055"/>
        </w:tabs>
        <w:spacing w:line="360" w:lineRule="auto"/>
        <w:jc w:val="both"/>
        <w:rPr>
          <w:rFonts w:ascii="Times New Roman" w:hAnsi="Times New Roman"/>
        </w:rPr>
      </w:pPr>
    </w:p>
    <w:p w:rsidR="00FF6BDE" w:rsidRPr="003F6D44" w:rsidRDefault="00FF6BDE" w:rsidP="003F6D44">
      <w:pPr>
        <w:tabs>
          <w:tab w:val="left" w:pos="1055"/>
        </w:tabs>
        <w:spacing w:line="360" w:lineRule="auto"/>
        <w:jc w:val="both"/>
        <w:rPr>
          <w:rFonts w:ascii="Times New Roman" w:hAnsi="Times New Roman"/>
        </w:rPr>
      </w:pPr>
    </w:p>
    <w:p w:rsidR="00FF6BDE" w:rsidRPr="003F6D44" w:rsidRDefault="00FF6BDE" w:rsidP="003F6D44">
      <w:pPr>
        <w:tabs>
          <w:tab w:val="left" w:pos="1055"/>
        </w:tabs>
        <w:spacing w:line="360" w:lineRule="auto"/>
        <w:jc w:val="both"/>
        <w:rPr>
          <w:rFonts w:ascii="Times New Roman" w:hAnsi="Times New Roman"/>
        </w:rPr>
      </w:pPr>
    </w:p>
    <w:p w:rsidR="00FF6BDE" w:rsidRPr="003F6D44" w:rsidRDefault="00FF6BDE" w:rsidP="003F6D44">
      <w:pPr>
        <w:tabs>
          <w:tab w:val="left" w:pos="1055"/>
        </w:tabs>
        <w:spacing w:line="360" w:lineRule="auto"/>
        <w:jc w:val="both"/>
        <w:rPr>
          <w:rFonts w:ascii="Times New Roman" w:hAnsi="Times New Roman"/>
        </w:rPr>
      </w:pP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noProof/>
          <w:lang w:eastAsia="it-IT"/>
        </w:rPr>
        <w:drawing>
          <wp:anchor distT="0" distB="0" distL="114300" distR="114300" simplePos="0" relativeHeight="251642368" behindDoc="0" locked="0" layoutInCell="1" allowOverlap="1">
            <wp:simplePos x="0" y="0"/>
            <wp:positionH relativeFrom="margin">
              <wp:posOffset>92710</wp:posOffset>
            </wp:positionH>
            <wp:positionV relativeFrom="margin">
              <wp:posOffset>-750570</wp:posOffset>
            </wp:positionV>
            <wp:extent cx="5708650" cy="4122420"/>
            <wp:effectExtent l="0" t="0" r="6350" b="11430"/>
            <wp:wrapSquare wrapText="bothSides"/>
            <wp:docPr id="1028" name="Immagine 1"/>
            <wp:cNvGraphicFramePr/>
            <a:graphic xmlns:a="http://schemas.openxmlformats.org/drawingml/2006/main">
              <a:graphicData uri="http://schemas.openxmlformats.org/drawingml/2006/picture">
                <pic:pic xmlns:pic="http://schemas.openxmlformats.org/drawingml/2006/picture">
                  <pic:nvPicPr>
                    <pic:cNvPr id="1028" name="Immagine 1"/>
                    <pic:cNvPicPr/>
                  </pic:nvPicPr>
                  <pic:blipFill>
                    <a:blip r:embed="rId29" cstate="print"/>
                    <a:srcRect/>
                    <a:stretch>
                      <a:fillRect/>
                    </a:stretch>
                  </pic:blipFill>
                  <pic:spPr>
                    <a:xfrm>
                      <a:off x="0" y="0"/>
                      <a:ext cx="5708650" cy="4122420"/>
                    </a:xfrm>
                    <a:prstGeom prst="rect">
                      <a:avLst/>
                    </a:prstGeom>
                  </pic:spPr>
                </pic:pic>
              </a:graphicData>
            </a:graphic>
          </wp:anchor>
        </w:drawing>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xml:space="preserve">Nonostante l’importanza dei dati clinico-anamnestici e biochimici, l’ecografia rappresenta l’esame principe non solo per la diagnosi, ma anche per la caratterizzazione dei noduli tiroidei e, quindi, per la valutazione del rischio di malignità. In particolare, la valutazione ecografica consente di classificare i noduli in alto/medio/basso/bassissimo rischio di cancro in base ai seguenti criteri: </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xml:space="preserve">- Microcalcificazioni </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xml:space="preserve">- Ipoecogenicità </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xml:space="preserve">- Margini irregolari </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Morfologia del nodulo (</w:t>
      </w:r>
      <w:r w:rsidRPr="003F6D44">
        <w:rPr>
          <w:rFonts w:ascii="Times New Roman" w:hAnsi="Times New Roman"/>
          <w:i/>
        </w:rPr>
        <w:t>Shape taller than wide)</w:t>
      </w:r>
      <w:r w:rsidRPr="003F6D44">
        <w:rPr>
          <w:rFonts w:ascii="Times New Roman" w:hAnsi="Times New Roman"/>
        </w:rPr>
        <w:t xml:space="preserve"> </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xml:space="preserve">- Evidenza di estensione extracapsulare </w:t>
      </w:r>
    </w:p>
    <w:p w:rsidR="004A2366"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V</w:t>
      </w:r>
      <w:r w:rsidR="004A2366" w:rsidRPr="003F6D44">
        <w:rPr>
          <w:rFonts w:ascii="Times New Roman" w:hAnsi="Times New Roman"/>
        </w:rPr>
        <w:t>ascolarizzazione intra-nodulare</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xml:space="preserve">Questo rappresenta uno snodo cruciale per la definizione dell’iter diagnostico (Mappa 2). </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Molto importante è anche la ricerca di linfoadenopatie laterocervicali sospette, potenziale sede di metastasi da carcinoma tiroideo.</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Nel caso in cui l’ecografia ne certifichi l’indicazione, verrà quindi praticato l’esame citologico mediante agoaspirato (</w:t>
      </w:r>
      <w:r w:rsidRPr="003F6D44">
        <w:rPr>
          <w:rFonts w:ascii="Times New Roman" w:hAnsi="Times New Roman"/>
          <w:i/>
        </w:rPr>
        <w:t xml:space="preserve">Fine Needle Aspiration </w:t>
      </w:r>
      <w:r w:rsidRPr="003F6D44">
        <w:rPr>
          <w:rFonts w:ascii="Times New Roman" w:hAnsi="Times New Roman"/>
        </w:rPr>
        <w:t xml:space="preserve">FNA). La FNA rappresenta la tecnica più accurata ed efficace per la diagnosi di natura (benigna o maligna) dei noduli tiroidei in fase pre-chirurgica.  </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Il referto citologico deve essere descrittivo, e concludersi con l’attribuzione del citologico a una categoria diagnostica ben definita e identificabile con un codice numerico. La Consensus italiana SIAPEC 2014 (</w:t>
      </w:r>
      <w:hyperlink r:id="rId30" w:history="1">
        <w:r w:rsidRPr="003F6D44">
          <w:rPr>
            <w:rStyle w:val="Collegamentoipertestuale"/>
            <w:rFonts w:ascii="Times New Roman" w:hAnsi="Times New Roman"/>
            <w:color w:val="auto"/>
          </w:rPr>
          <w:t>www.siapec.it</w:t>
        </w:r>
      </w:hyperlink>
      <w:r w:rsidRPr="003F6D44">
        <w:rPr>
          <w:rFonts w:ascii="Times New Roman" w:hAnsi="Times New Roman"/>
        </w:rPr>
        <w:t>), ad oggi applicata nelle Strutture afferenti al GOM, presenta una classificazione citologica caratterizzata da 5 categorie, per ciascuna delle quali è indicato</w:t>
      </w:r>
      <w:r w:rsidR="00E92E61" w:rsidRPr="003F6D44">
        <w:rPr>
          <w:rFonts w:ascii="Times New Roman" w:hAnsi="Times New Roman"/>
        </w:rPr>
        <w:t xml:space="preserve"> il rischio atteso di malignità e il </w:t>
      </w:r>
      <w:r w:rsidRPr="003F6D44">
        <w:rPr>
          <w:rFonts w:ascii="Times New Roman" w:hAnsi="Times New Roman"/>
        </w:rPr>
        <w:t>tipo di approccio gestionale (Mappa 2). Lo studio citologico può essere integrato dall’impiego di marcatori immunocitochimici e/o genetico-molecolari. Per quanto riguarda i primi, Calcitonina e CEA sono impiegati nel s</w:t>
      </w:r>
      <w:r w:rsidR="003E3674" w:rsidRPr="003F6D44">
        <w:rPr>
          <w:rFonts w:ascii="Times New Roman" w:hAnsi="Times New Roman"/>
        </w:rPr>
        <w:t xml:space="preserve">ospetto di carcinoma midollare. </w:t>
      </w:r>
      <w:r w:rsidRPr="003F6D44">
        <w:rPr>
          <w:rFonts w:ascii="Times New Roman" w:hAnsi="Times New Roman"/>
        </w:rPr>
        <w:t xml:space="preserve"> Inoltre, il dosaggio della tireoglobulina e</w:t>
      </w:r>
      <w:r w:rsidR="00F3170C" w:rsidRPr="003F6D44">
        <w:rPr>
          <w:rFonts w:ascii="Times New Roman" w:hAnsi="Times New Roman"/>
        </w:rPr>
        <w:t>/o</w:t>
      </w:r>
      <w:r w:rsidRPr="003F6D44">
        <w:rPr>
          <w:rFonts w:ascii="Times New Roman" w:hAnsi="Times New Roman"/>
        </w:rPr>
        <w:t xml:space="preserve"> della calcitonina effettuato sul liquido di lavaggio dell’ago nel corso di agoaspirato su linfonodi del collo rappresenta una valida integrazione alla citologia convenzionale</w:t>
      </w:r>
      <w:r w:rsidR="003E3674" w:rsidRPr="003F6D44">
        <w:rPr>
          <w:rFonts w:ascii="Times New Roman" w:hAnsi="Times New Roman"/>
        </w:rPr>
        <w:t xml:space="preserve"> nella valutazione di linfoadenopatie sospette</w:t>
      </w:r>
      <w:r w:rsidRPr="003F6D44">
        <w:rPr>
          <w:rFonts w:ascii="Times New Roman" w:hAnsi="Times New Roman"/>
        </w:rPr>
        <w:t xml:space="preserve">. Per quanto riguarda i marcatori </w:t>
      </w:r>
      <w:r w:rsidR="00F3170C" w:rsidRPr="003F6D44">
        <w:rPr>
          <w:rFonts w:ascii="Times New Roman" w:hAnsi="Times New Roman"/>
        </w:rPr>
        <w:t>molecolari</w:t>
      </w:r>
      <w:r w:rsidRPr="003F6D44">
        <w:rPr>
          <w:rFonts w:ascii="Times New Roman" w:hAnsi="Times New Roman"/>
        </w:rPr>
        <w:t xml:space="preserve">, le Strutture afferenti al GOM </w:t>
      </w:r>
      <w:r w:rsidR="00CA312E" w:rsidRPr="003F6D44">
        <w:rPr>
          <w:rFonts w:ascii="Times New Roman" w:hAnsi="Times New Roman"/>
        </w:rPr>
        <w:t xml:space="preserve">possono aderire al </w:t>
      </w:r>
      <w:r w:rsidRPr="003F6D44">
        <w:rPr>
          <w:rFonts w:ascii="Times New Roman" w:hAnsi="Times New Roman"/>
        </w:rPr>
        <w:t>progetto regionale TIRNET per i test molecolari delle neoplasie della tiroide</w:t>
      </w:r>
      <w:r w:rsidR="00CA312E" w:rsidRPr="003F6D44">
        <w:rPr>
          <w:rFonts w:ascii="Times New Roman" w:hAnsi="Times New Roman"/>
        </w:rPr>
        <w:t>, o eseguire i test molecolari nella propria sede</w:t>
      </w:r>
      <w:r w:rsidRPr="003F6D44">
        <w:rPr>
          <w:rFonts w:ascii="Times New Roman" w:hAnsi="Times New Roman"/>
        </w:rPr>
        <w:t>. Ciò implica che verrà eseguita la ricerca delle mutazioni del cosiddetto pannello a 7 geni su materiale genetico estratto da campione citologico allo scopo di ri</w:t>
      </w:r>
      <w:r w:rsidR="00F3170C" w:rsidRPr="003F6D44">
        <w:rPr>
          <w:rFonts w:ascii="Times New Roman" w:hAnsi="Times New Roman"/>
        </w:rPr>
        <w:t>de</w:t>
      </w:r>
      <w:r w:rsidRPr="003F6D44">
        <w:rPr>
          <w:rFonts w:ascii="Times New Roman" w:hAnsi="Times New Roman"/>
        </w:rPr>
        <w:t xml:space="preserve">finire la gestione dei noduli tiroidei con esame citologico indeterminato, con particolare riferimento </w:t>
      </w:r>
      <w:r w:rsidR="00E12C60" w:rsidRPr="003F6D44">
        <w:rPr>
          <w:rFonts w:ascii="Times New Roman" w:hAnsi="Times New Roman"/>
        </w:rPr>
        <w:t xml:space="preserve">alle categorie TIR3 A e B. </w:t>
      </w:r>
      <w:r w:rsidRPr="003F6D44">
        <w:rPr>
          <w:rFonts w:ascii="Times New Roman" w:hAnsi="Times New Roman"/>
        </w:rPr>
        <w:t xml:space="preserve"> Nello specifico, in caso di TIR3A, il riscontro di mutazioni induce un cambio della strategia, da non-chirurgica a chirurgica. In caso di TIR3B, invece, la positività del test permette di ottimizzare la strategia chirurgica (tiroidectomia par</w:t>
      </w:r>
      <w:r w:rsidR="00F3170C" w:rsidRPr="003F6D44">
        <w:rPr>
          <w:rFonts w:ascii="Times New Roman" w:hAnsi="Times New Roman"/>
        </w:rPr>
        <w:t xml:space="preserve">ziale </w:t>
      </w:r>
      <w:r w:rsidR="004F1EC1" w:rsidRPr="003F6D44">
        <w:rPr>
          <w:rFonts w:ascii="Times New Roman" w:hAnsi="Times New Roman"/>
        </w:rPr>
        <w:t>vs tiroidectomia</w:t>
      </w:r>
      <w:r w:rsidR="00F3170C" w:rsidRPr="003F6D44">
        <w:rPr>
          <w:rFonts w:ascii="Times New Roman" w:hAnsi="Times New Roman"/>
        </w:rPr>
        <w:t xml:space="preserve"> totale)</w:t>
      </w:r>
      <w:r w:rsidRPr="003F6D44">
        <w:rPr>
          <w:rFonts w:ascii="Times New Roman" w:hAnsi="Times New Roman"/>
        </w:rPr>
        <w:t xml:space="preserve"> (mappa 2)</w:t>
      </w:r>
      <w:r w:rsidR="00F3170C" w:rsidRPr="003F6D44">
        <w:rPr>
          <w:rFonts w:ascii="Times New Roman" w:hAnsi="Times New Roman"/>
        </w:rPr>
        <w:t>.</w:t>
      </w:r>
    </w:p>
    <w:p w:rsidR="004A2366" w:rsidRPr="003F6D44" w:rsidRDefault="004A2366" w:rsidP="003F6D44">
      <w:pPr>
        <w:tabs>
          <w:tab w:val="left" w:pos="1055"/>
        </w:tabs>
        <w:spacing w:line="360" w:lineRule="auto"/>
        <w:jc w:val="both"/>
        <w:rPr>
          <w:rFonts w:ascii="Times New Roman" w:hAnsi="Times New Roman"/>
        </w:rPr>
      </w:pPr>
      <w:r w:rsidRPr="003F6D44">
        <w:rPr>
          <w:rFonts w:ascii="Times New Roman" w:hAnsi="Times New Roman"/>
          <w:noProof/>
          <w:lang w:eastAsia="it-IT"/>
        </w:rPr>
        <w:drawing>
          <wp:anchor distT="0" distB="0" distL="114300" distR="114300" simplePos="0" relativeHeight="251677184" behindDoc="1" locked="0" layoutInCell="1" allowOverlap="1" wp14:anchorId="0D774625" wp14:editId="33CAA9C5">
            <wp:simplePos x="0" y="0"/>
            <wp:positionH relativeFrom="margin">
              <wp:posOffset>-76835</wp:posOffset>
            </wp:positionH>
            <wp:positionV relativeFrom="page">
              <wp:posOffset>6063716</wp:posOffset>
            </wp:positionV>
            <wp:extent cx="6363335" cy="4127500"/>
            <wp:effectExtent l="0" t="0" r="0" b="6350"/>
            <wp:wrapTight wrapText="bothSides">
              <wp:wrapPolygon edited="0">
                <wp:start x="0" y="0"/>
                <wp:lineTo x="0" y="21534"/>
                <wp:lineTo x="21533" y="21534"/>
                <wp:lineTo x="21533" y="0"/>
                <wp:lineTo x="0" y="0"/>
              </wp:wrapPolygon>
            </wp:wrapTight>
            <wp:docPr id="1029" name="Immagine 46"/>
            <wp:cNvGraphicFramePr/>
            <a:graphic xmlns:a="http://schemas.openxmlformats.org/drawingml/2006/main">
              <a:graphicData uri="http://schemas.openxmlformats.org/drawingml/2006/picture">
                <pic:pic xmlns:pic="http://schemas.openxmlformats.org/drawingml/2006/picture">
                  <pic:nvPicPr>
                    <pic:cNvPr id="1029" name="Immagine 46"/>
                    <pic:cNvPicPr/>
                  </pic:nvPicPr>
                  <pic:blipFill>
                    <a:blip r:embed="rId31" cstate="print"/>
                    <a:srcRect/>
                    <a:stretch>
                      <a:fillRect/>
                    </a:stretch>
                  </pic:blipFill>
                  <pic:spPr>
                    <a:xfrm>
                      <a:off x="0" y="0"/>
                      <a:ext cx="6363335" cy="4127500"/>
                    </a:xfrm>
                    <a:prstGeom prst="rect">
                      <a:avLst/>
                    </a:prstGeom>
                  </pic:spPr>
                </pic:pic>
              </a:graphicData>
            </a:graphic>
            <wp14:sizeRelH relativeFrom="margin">
              <wp14:pctWidth>0</wp14:pctWidth>
            </wp14:sizeRelH>
            <wp14:sizeRelV relativeFrom="margin">
              <wp14:pctHeight>0</wp14:pctHeight>
            </wp14:sizeRelV>
          </wp:anchor>
        </w:drawing>
      </w:r>
    </w:p>
    <w:p w:rsidR="00FF6BDE" w:rsidRPr="003F6D44" w:rsidRDefault="00C972FB" w:rsidP="003F6D44">
      <w:pPr>
        <w:tabs>
          <w:tab w:val="left" w:pos="1055"/>
        </w:tabs>
        <w:spacing w:line="360" w:lineRule="auto"/>
        <w:jc w:val="both"/>
        <w:rPr>
          <w:rFonts w:ascii="Times New Roman" w:hAnsi="Times New Roman"/>
        </w:rPr>
      </w:pPr>
      <w:r w:rsidRPr="003F6D44">
        <w:rPr>
          <w:rFonts w:ascii="Times New Roman" w:hAnsi="Times New Roman"/>
        </w:rPr>
        <w:t>S</w:t>
      </w:r>
      <w:r w:rsidR="00770A13" w:rsidRPr="003F6D44">
        <w:rPr>
          <w:rFonts w:ascii="Times New Roman" w:hAnsi="Times New Roman"/>
        </w:rPr>
        <w:t>e il paziente è portatore di una patologia nodulare in cui l’agoaspirato non è indicato e non vi siano fattori clinico strumentali di rischio, esce dal PDTA, e potrà seguito nell’ambito della Medicina Generale ovvero della Specialistica Territoriale.</w:t>
      </w:r>
    </w:p>
    <w:p w:rsidR="004A2366" w:rsidRPr="003F6D44" w:rsidRDefault="004A2366" w:rsidP="003F6D44">
      <w:pPr>
        <w:tabs>
          <w:tab w:val="left" w:pos="1055"/>
        </w:tabs>
        <w:spacing w:line="360" w:lineRule="auto"/>
        <w:jc w:val="both"/>
        <w:rPr>
          <w:rFonts w:ascii="Times New Roman" w:hAnsi="Times New Roman"/>
        </w:rPr>
      </w:pPr>
    </w:p>
    <w:p w:rsidR="00FF6BDE" w:rsidRPr="003F6D44" w:rsidRDefault="00770A13" w:rsidP="003F6D44">
      <w:pPr>
        <w:tabs>
          <w:tab w:val="left" w:pos="1595"/>
        </w:tabs>
        <w:spacing w:line="360" w:lineRule="auto"/>
        <w:jc w:val="both"/>
        <w:rPr>
          <w:rFonts w:ascii="Times New Roman" w:eastAsia="Times New Roman" w:hAnsi="Times New Roman"/>
          <w:lang w:eastAsia="it-IT"/>
        </w:rPr>
      </w:pPr>
      <w:r w:rsidRPr="003F6D44">
        <w:rPr>
          <w:rFonts w:ascii="Times New Roman" w:eastAsia="Times New Roman" w:hAnsi="Times New Roman"/>
          <w:lang w:eastAsia="it-IT"/>
        </w:rPr>
        <w:t>La tab. 1 riassume gli esami di stadiazione per il carcinoma tiroideo non avanzato.</w:t>
      </w:r>
    </w:p>
    <w:tbl>
      <w:tblPr>
        <w:tblStyle w:val="Grigliatabella1"/>
        <w:tblW w:w="0" w:type="auto"/>
        <w:tblLook w:val="04A0" w:firstRow="1" w:lastRow="0" w:firstColumn="1" w:lastColumn="0" w:noHBand="0" w:noVBand="1"/>
      </w:tblPr>
      <w:tblGrid>
        <w:gridCol w:w="6091"/>
        <w:gridCol w:w="3531"/>
      </w:tblGrid>
      <w:tr w:rsidR="00FF6BDE" w:rsidRPr="003F6D44">
        <w:tc>
          <w:tcPr>
            <w:tcW w:w="6091"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lang w:eastAsia="it-IT"/>
              </w:rPr>
            </w:pPr>
            <w:r w:rsidRPr="003F6D44">
              <w:rPr>
                <w:lang w:eastAsia="it-IT"/>
              </w:rPr>
              <w:t xml:space="preserve">                     TIPOLOGIA DI ESAME </w:t>
            </w:r>
          </w:p>
        </w:tc>
        <w:tc>
          <w:tcPr>
            <w:tcW w:w="3531"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lang w:eastAsia="it-IT"/>
              </w:rPr>
            </w:pPr>
            <w:r w:rsidRPr="003F6D44">
              <w:rPr>
                <w:lang w:eastAsia="it-IT"/>
              </w:rPr>
              <w:t xml:space="preserve">                APPROPRIATEZZA</w:t>
            </w:r>
          </w:p>
        </w:tc>
      </w:tr>
      <w:tr w:rsidR="00FF6BDE" w:rsidRPr="003F6D44">
        <w:tc>
          <w:tcPr>
            <w:tcW w:w="6091"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lang w:eastAsia="it-IT"/>
              </w:rPr>
            </w:pPr>
            <w:r w:rsidRPr="003F6D44">
              <w:rPr>
                <w:lang w:eastAsia="it-IT"/>
              </w:rPr>
              <w:t>Ecografia loggia tiroidea delle stazioni linfonodali del collo</w:t>
            </w:r>
          </w:p>
        </w:tc>
        <w:tc>
          <w:tcPr>
            <w:tcW w:w="3531"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lang w:eastAsia="it-IT"/>
              </w:rPr>
            </w:pPr>
            <w:r w:rsidRPr="003F6D44">
              <w:rPr>
                <w:lang w:eastAsia="it-IT"/>
              </w:rPr>
              <w:t>Appropriata</w:t>
            </w:r>
          </w:p>
        </w:tc>
      </w:tr>
      <w:tr w:rsidR="00FF6BDE" w:rsidRPr="003F6D44">
        <w:tc>
          <w:tcPr>
            <w:tcW w:w="6091"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lang w:eastAsia="it-IT"/>
              </w:rPr>
            </w:pPr>
            <w:r w:rsidRPr="003F6D44">
              <w:rPr>
                <w:lang w:eastAsia="it-IT"/>
              </w:rPr>
              <w:t>Valutazione calcitonina sierica</w:t>
            </w:r>
          </w:p>
        </w:tc>
        <w:tc>
          <w:tcPr>
            <w:tcW w:w="3531"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lang w:eastAsia="it-IT"/>
              </w:rPr>
            </w:pPr>
            <w:r w:rsidRPr="003F6D44">
              <w:rPr>
                <w:lang w:eastAsia="it-IT"/>
              </w:rPr>
              <w:t>Appropriata</w:t>
            </w:r>
          </w:p>
        </w:tc>
      </w:tr>
      <w:tr w:rsidR="00FF6BDE" w:rsidRPr="003F6D44">
        <w:tc>
          <w:tcPr>
            <w:tcW w:w="6091"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lang w:eastAsia="it-IT"/>
              </w:rPr>
            </w:pPr>
            <w:r w:rsidRPr="003F6D44">
              <w:rPr>
                <w:lang w:eastAsia="it-IT"/>
              </w:rPr>
              <w:t>Fibrolaringoscopia</w:t>
            </w:r>
          </w:p>
        </w:tc>
        <w:tc>
          <w:tcPr>
            <w:tcW w:w="3531"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lang w:eastAsia="it-IT"/>
              </w:rPr>
            </w:pPr>
            <w:r w:rsidRPr="003F6D44">
              <w:rPr>
                <w:lang w:eastAsia="it-IT"/>
              </w:rPr>
              <w:t>Appropriata</w:t>
            </w:r>
          </w:p>
        </w:tc>
      </w:tr>
      <w:tr w:rsidR="00FF6BDE" w:rsidRPr="003F6D44">
        <w:trPr>
          <w:trHeight w:val="130"/>
        </w:trPr>
        <w:tc>
          <w:tcPr>
            <w:tcW w:w="6091"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lang w:eastAsia="it-IT"/>
              </w:rPr>
            </w:pPr>
            <w:r w:rsidRPr="003F6D44">
              <w:rPr>
                <w:lang w:eastAsia="it-IT"/>
              </w:rPr>
              <w:t>Agoaspirato ecoguidato linfonodi del collo con dosaggio HTG/calcitonina su eluato</w:t>
            </w:r>
          </w:p>
        </w:tc>
        <w:tc>
          <w:tcPr>
            <w:tcW w:w="3531"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lang w:eastAsia="it-IT"/>
              </w:rPr>
            </w:pPr>
            <w:r w:rsidRPr="003F6D44">
              <w:rPr>
                <w:lang w:eastAsia="it-IT"/>
              </w:rPr>
              <w:t>Appropriata in casi selezionati</w:t>
            </w:r>
          </w:p>
        </w:tc>
      </w:tr>
    </w:tbl>
    <w:p w:rsidR="004A2366" w:rsidRPr="003F6D44" w:rsidRDefault="004A2366" w:rsidP="003F6D44">
      <w:pPr>
        <w:tabs>
          <w:tab w:val="left" w:pos="1595"/>
        </w:tabs>
        <w:spacing w:line="360" w:lineRule="auto"/>
        <w:jc w:val="both"/>
        <w:rPr>
          <w:rFonts w:ascii="Times New Roman" w:hAnsi="Times New Roman"/>
        </w:rPr>
      </w:pPr>
    </w:p>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La tab. 2 riassume gli esami di stadiazione per il carcinoma tiroideo localmente avanzato e/o metastatico</w:t>
      </w:r>
    </w:p>
    <w:tbl>
      <w:tblPr>
        <w:tblStyle w:val="Grigliatabella"/>
        <w:tblW w:w="0" w:type="auto"/>
        <w:tblLook w:val="04A0" w:firstRow="1" w:lastRow="0" w:firstColumn="1" w:lastColumn="0" w:noHBand="0" w:noVBand="1"/>
      </w:tblPr>
      <w:tblGrid>
        <w:gridCol w:w="4810"/>
        <w:gridCol w:w="4812"/>
      </w:tblGrid>
      <w:tr w:rsidR="00FF6BDE" w:rsidRPr="003F6D44">
        <w:tc>
          <w:tcPr>
            <w:tcW w:w="4813"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 xml:space="preserve">                     TIPOLOGIA DI ESAME </w:t>
            </w:r>
          </w:p>
        </w:tc>
        <w:tc>
          <w:tcPr>
            <w:tcW w:w="4815"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 xml:space="preserve">                APPROPRIATEZZA</w:t>
            </w:r>
          </w:p>
        </w:tc>
      </w:tr>
      <w:tr w:rsidR="00FF6BDE" w:rsidRPr="003F6D44">
        <w:tc>
          <w:tcPr>
            <w:tcW w:w="4813"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Ecografia delle stazioni linfonodali del collo</w:t>
            </w:r>
          </w:p>
        </w:tc>
        <w:tc>
          <w:tcPr>
            <w:tcW w:w="4815"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Appropriata</w:t>
            </w:r>
          </w:p>
        </w:tc>
      </w:tr>
      <w:tr w:rsidR="00FF6BDE" w:rsidRPr="003F6D44">
        <w:tc>
          <w:tcPr>
            <w:tcW w:w="4813"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 xml:space="preserve"> TAC Total-body con e senza mdc</w:t>
            </w:r>
          </w:p>
        </w:tc>
        <w:tc>
          <w:tcPr>
            <w:tcW w:w="4815"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 xml:space="preserve">Appropriata </w:t>
            </w:r>
          </w:p>
        </w:tc>
      </w:tr>
      <w:tr w:rsidR="00FF6BDE" w:rsidRPr="003F6D44">
        <w:tc>
          <w:tcPr>
            <w:tcW w:w="4813"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Fibrolaringoscopia</w:t>
            </w:r>
          </w:p>
        </w:tc>
        <w:tc>
          <w:tcPr>
            <w:tcW w:w="4815"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Appropriata</w:t>
            </w:r>
          </w:p>
        </w:tc>
      </w:tr>
      <w:tr w:rsidR="00FF6BDE" w:rsidRPr="003F6D44">
        <w:tc>
          <w:tcPr>
            <w:tcW w:w="4813"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Esame spirometrico</w:t>
            </w:r>
          </w:p>
        </w:tc>
        <w:tc>
          <w:tcPr>
            <w:tcW w:w="4815"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Appropriata</w:t>
            </w:r>
          </w:p>
        </w:tc>
      </w:tr>
      <w:tr w:rsidR="00FF6BDE" w:rsidRPr="003F6D44">
        <w:tc>
          <w:tcPr>
            <w:tcW w:w="4813"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Valutazione EGA</w:t>
            </w:r>
          </w:p>
        </w:tc>
        <w:tc>
          <w:tcPr>
            <w:tcW w:w="4815"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Appropriata</w:t>
            </w:r>
          </w:p>
        </w:tc>
      </w:tr>
      <w:tr w:rsidR="00FF6BDE" w:rsidRPr="003F6D44">
        <w:tc>
          <w:tcPr>
            <w:tcW w:w="4813"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lang w:val="en-US"/>
              </w:rPr>
            </w:pPr>
            <w:r w:rsidRPr="003F6D44">
              <w:rPr>
                <w:rFonts w:ascii="Times New Roman" w:hAnsi="Times New Roman"/>
                <w:lang w:val="en-US"/>
              </w:rPr>
              <w:t>Valutazione endoscopica VADS</w:t>
            </w:r>
          </w:p>
        </w:tc>
        <w:tc>
          <w:tcPr>
            <w:tcW w:w="4815"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Appropriata</w:t>
            </w:r>
          </w:p>
        </w:tc>
      </w:tr>
      <w:tr w:rsidR="00FF6BDE" w:rsidRPr="003F6D44">
        <w:tc>
          <w:tcPr>
            <w:tcW w:w="4813"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 xml:space="preserve">Ecografia addome </w:t>
            </w:r>
          </w:p>
        </w:tc>
        <w:tc>
          <w:tcPr>
            <w:tcW w:w="4815"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Appropriata in casi selezionati</w:t>
            </w:r>
          </w:p>
        </w:tc>
      </w:tr>
      <w:tr w:rsidR="00FF6BDE" w:rsidRPr="003F6D44">
        <w:tc>
          <w:tcPr>
            <w:tcW w:w="4813"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lang w:val="en-US"/>
              </w:rPr>
            </w:pPr>
            <w:r w:rsidRPr="003F6D44">
              <w:rPr>
                <w:rFonts w:ascii="Times New Roman" w:hAnsi="Times New Roman"/>
                <w:lang w:val="en-US"/>
              </w:rPr>
              <w:t>PET-TAC total-body con FDG</w:t>
            </w:r>
          </w:p>
        </w:tc>
        <w:tc>
          <w:tcPr>
            <w:tcW w:w="4815"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Appropriata in casi selezionati</w:t>
            </w:r>
          </w:p>
        </w:tc>
      </w:tr>
      <w:tr w:rsidR="00FF6BDE" w:rsidRPr="003F6D44">
        <w:tc>
          <w:tcPr>
            <w:tcW w:w="4813"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lang w:val="en-US"/>
              </w:rPr>
            </w:pPr>
            <w:r w:rsidRPr="003F6D44">
              <w:rPr>
                <w:rFonts w:ascii="Times New Roman" w:hAnsi="Times New Roman"/>
                <w:lang w:val="en-US"/>
              </w:rPr>
              <w:t>PET-TAC total-body con L-DOPA</w:t>
            </w:r>
          </w:p>
        </w:tc>
        <w:tc>
          <w:tcPr>
            <w:tcW w:w="4815"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Appropriata in casi selezionati</w:t>
            </w:r>
          </w:p>
        </w:tc>
      </w:tr>
      <w:tr w:rsidR="00FF6BDE" w:rsidRPr="003F6D44">
        <w:tc>
          <w:tcPr>
            <w:tcW w:w="4813"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RM del collo e mediastino con mdc</w:t>
            </w:r>
          </w:p>
        </w:tc>
        <w:tc>
          <w:tcPr>
            <w:tcW w:w="4815"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Appropriata in casi selezionati</w:t>
            </w:r>
          </w:p>
        </w:tc>
      </w:tr>
      <w:tr w:rsidR="00FF6BDE" w:rsidRPr="003F6D44">
        <w:tc>
          <w:tcPr>
            <w:tcW w:w="4813"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Scintigrafia ossea</w:t>
            </w:r>
          </w:p>
        </w:tc>
        <w:tc>
          <w:tcPr>
            <w:tcW w:w="4815"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Appropriata in casi selezionati</w:t>
            </w:r>
          </w:p>
        </w:tc>
      </w:tr>
      <w:tr w:rsidR="00FF6BDE" w:rsidRPr="003F6D44">
        <w:tc>
          <w:tcPr>
            <w:tcW w:w="4813"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RX scheletro in toto</w:t>
            </w:r>
          </w:p>
        </w:tc>
        <w:tc>
          <w:tcPr>
            <w:tcW w:w="4815" w:type="dxa"/>
            <w:tcBorders>
              <w:top w:val="single" w:sz="4" w:space="0" w:color="auto"/>
              <w:left w:val="single" w:sz="4" w:space="0" w:color="auto"/>
              <w:bottom w:val="single" w:sz="4" w:space="0" w:color="auto"/>
              <w:right w:val="single" w:sz="4" w:space="0" w:color="auto"/>
            </w:tcBorders>
          </w:tcPr>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Appropriata in casi selezionati</w:t>
            </w:r>
          </w:p>
        </w:tc>
      </w:tr>
    </w:tbl>
    <w:p w:rsidR="004A2366" w:rsidRPr="003F6D44" w:rsidRDefault="004A2366" w:rsidP="003F6D44">
      <w:pPr>
        <w:tabs>
          <w:tab w:val="left" w:pos="1055"/>
        </w:tabs>
        <w:spacing w:line="360" w:lineRule="auto"/>
        <w:jc w:val="both"/>
        <w:rPr>
          <w:rFonts w:ascii="Times New Roman" w:hAnsi="Times New Roman"/>
        </w:rPr>
      </w:pPr>
    </w:p>
    <w:p w:rsidR="00FF6BDE" w:rsidRPr="003F6D44" w:rsidRDefault="00770A13" w:rsidP="003F6D44">
      <w:pPr>
        <w:tabs>
          <w:tab w:val="left" w:pos="1055"/>
        </w:tabs>
        <w:spacing w:line="360" w:lineRule="auto"/>
        <w:jc w:val="both"/>
        <w:rPr>
          <w:rFonts w:ascii="Times New Roman" w:hAnsi="Times New Roman"/>
          <w:b/>
          <w:caps/>
        </w:rPr>
      </w:pPr>
      <w:r w:rsidRPr="003F6D44">
        <w:rPr>
          <w:rFonts w:ascii="Times New Roman" w:hAnsi="Times New Roman"/>
          <w:b/>
          <w:caps/>
        </w:rPr>
        <w:t xml:space="preserve">Percorso terapeutico per persone con patologia tiroidea nodulare sospetta di malignità </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Pazienti con patologia tiroidea nodulare sospetta</w:t>
      </w:r>
      <w:r w:rsidR="00893C67" w:rsidRPr="003F6D44">
        <w:rPr>
          <w:rFonts w:ascii="Times New Roman" w:hAnsi="Times New Roman"/>
        </w:rPr>
        <w:t xml:space="preserve"> o suggestiva pe</w:t>
      </w:r>
      <w:r w:rsidRPr="003F6D44">
        <w:rPr>
          <w:rFonts w:ascii="Times New Roman" w:hAnsi="Times New Roman"/>
        </w:rPr>
        <w:t>r malignità (categorie citologiche TIR3B, TIR4, TIR5, TIR3A portatori di mutazioni genetiche al</w:t>
      </w:r>
      <w:r w:rsidR="00A41CA5" w:rsidRPr="003F6D44">
        <w:rPr>
          <w:rFonts w:ascii="Times New Roman" w:hAnsi="Times New Roman"/>
        </w:rPr>
        <w:t>la biologia molecolare</w:t>
      </w:r>
      <w:r w:rsidRPr="003F6D44">
        <w:rPr>
          <w:rFonts w:ascii="Times New Roman" w:hAnsi="Times New Roman"/>
        </w:rPr>
        <w:t xml:space="preserve">) saranno sottoposti a trattamento chirurgico. L’intervento sarà praticato un uno dei Centri di Chirurgia Endocrina delle Strutture afferenti al GOM. </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xml:space="preserve">Le modalità ed i tempi di ammissione alla terapia chirurgica </w:t>
      </w:r>
      <w:r w:rsidR="001F5B9A" w:rsidRPr="003F6D44">
        <w:rPr>
          <w:rFonts w:ascii="Times New Roman" w:hAnsi="Times New Roman"/>
        </w:rPr>
        <w:t xml:space="preserve">possono essere </w:t>
      </w:r>
      <w:r w:rsidRPr="003F6D44">
        <w:rPr>
          <w:rFonts w:ascii="Times New Roman" w:hAnsi="Times New Roman"/>
        </w:rPr>
        <w:t xml:space="preserve">i seguenti: </w:t>
      </w:r>
    </w:p>
    <w:p w:rsidR="00FF6BDE" w:rsidRPr="003F6D44" w:rsidRDefault="00770A13" w:rsidP="003F6D44">
      <w:pPr>
        <w:pStyle w:val="Paragrafoelenco"/>
        <w:numPr>
          <w:ilvl w:val="0"/>
          <w:numId w:val="2"/>
        </w:numPr>
        <w:shd w:val="clear" w:color="auto" w:fill="FFFFFF" w:themeFill="background1"/>
        <w:tabs>
          <w:tab w:val="left" w:pos="709"/>
        </w:tabs>
        <w:spacing w:after="0" w:line="360" w:lineRule="auto"/>
        <w:ind w:left="426"/>
        <w:jc w:val="both"/>
        <w:rPr>
          <w:rFonts w:ascii="Times New Roman" w:hAnsi="Times New Roman"/>
          <w:b/>
          <w:sz w:val="24"/>
          <w:szCs w:val="24"/>
        </w:rPr>
      </w:pPr>
      <w:r w:rsidRPr="003F6D44">
        <w:rPr>
          <w:rFonts w:ascii="Times New Roman" w:hAnsi="Times New Roman"/>
          <w:b/>
          <w:sz w:val="24"/>
          <w:szCs w:val="24"/>
        </w:rPr>
        <w:t>Classe di priorità A (ricovero entro 30 gg dalla diagnosi/prenotazione)</w:t>
      </w:r>
    </w:p>
    <w:p w:rsidR="00FF6BDE" w:rsidRPr="003F6D44" w:rsidRDefault="00770A13" w:rsidP="003F6D44">
      <w:pPr>
        <w:pStyle w:val="Paragrafoelenco"/>
        <w:numPr>
          <w:ilvl w:val="0"/>
          <w:numId w:val="10"/>
        </w:numPr>
        <w:shd w:val="clear" w:color="auto" w:fill="FFFFFF" w:themeFill="background1"/>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Pazienti con carcinoma anaplastico (immediato, entro una settimana dalla diagnosi);</w:t>
      </w:r>
    </w:p>
    <w:p w:rsidR="00FF6BDE" w:rsidRPr="003F6D44" w:rsidRDefault="00770A13" w:rsidP="003F6D44">
      <w:pPr>
        <w:pStyle w:val="Paragrafoelenco"/>
        <w:numPr>
          <w:ilvl w:val="0"/>
          <w:numId w:val="10"/>
        </w:numPr>
        <w:shd w:val="clear" w:color="auto" w:fill="FFFFFF" w:themeFill="background1"/>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Pazienti della categoria TIR 5 con citologia coerente con carcinoma Midollare (TIR 5 MID) (qualsiasi T);</w:t>
      </w:r>
    </w:p>
    <w:p w:rsidR="0070606F" w:rsidRPr="003F6D44" w:rsidRDefault="0070606F" w:rsidP="003F6D44">
      <w:pPr>
        <w:pStyle w:val="Paragrafoelenco"/>
        <w:numPr>
          <w:ilvl w:val="0"/>
          <w:numId w:val="10"/>
        </w:numPr>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 xml:space="preserve">Pazienti con citologia delle categorie TIR 5 </w:t>
      </w:r>
      <w:r w:rsidR="00174393" w:rsidRPr="003F6D44">
        <w:rPr>
          <w:rFonts w:ascii="Times New Roman" w:hAnsi="Times New Roman"/>
          <w:sz w:val="24"/>
          <w:szCs w:val="24"/>
        </w:rPr>
        <w:t>–</w:t>
      </w:r>
      <w:r w:rsidRPr="003F6D44">
        <w:rPr>
          <w:rFonts w:ascii="Times New Roman" w:hAnsi="Times New Roman"/>
          <w:sz w:val="24"/>
          <w:szCs w:val="24"/>
        </w:rPr>
        <w:t xml:space="preserve"> T</w:t>
      </w:r>
      <w:r w:rsidR="00174393" w:rsidRPr="003F6D44">
        <w:rPr>
          <w:rFonts w:ascii="Times New Roman" w:hAnsi="Times New Roman"/>
          <w:sz w:val="24"/>
          <w:szCs w:val="24"/>
        </w:rPr>
        <w:t>2-</w:t>
      </w:r>
      <w:r w:rsidRPr="003F6D44">
        <w:rPr>
          <w:rFonts w:ascii="Times New Roman" w:hAnsi="Times New Roman"/>
          <w:sz w:val="24"/>
          <w:szCs w:val="24"/>
        </w:rPr>
        <w:t>T4</w:t>
      </w:r>
    </w:p>
    <w:p w:rsidR="0070606F" w:rsidRPr="003F6D44" w:rsidRDefault="0070606F" w:rsidP="003F6D44">
      <w:pPr>
        <w:pStyle w:val="Paragrafoelenco"/>
        <w:numPr>
          <w:ilvl w:val="0"/>
          <w:numId w:val="10"/>
        </w:numPr>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 xml:space="preserve">Pazienti con citologia delle categorie TIR 4 </w:t>
      </w:r>
      <w:r w:rsidR="00174393" w:rsidRPr="003F6D44">
        <w:rPr>
          <w:rFonts w:ascii="Times New Roman" w:hAnsi="Times New Roman"/>
          <w:sz w:val="24"/>
          <w:szCs w:val="24"/>
        </w:rPr>
        <w:t>–</w:t>
      </w:r>
      <w:r w:rsidRPr="003F6D44">
        <w:rPr>
          <w:rFonts w:ascii="Times New Roman" w:hAnsi="Times New Roman"/>
          <w:sz w:val="24"/>
          <w:szCs w:val="24"/>
        </w:rPr>
        <w:t xml:space="preserve"> T</w:t>
      </w:r>
      <w:r w:rsidR="00174393" w:rsidRPr="003F6D44">
        <w:rPr>
          <w:rFonts w:ascii="Times New Roman" w:hAnsi="Times New Roman"/>
          <w:sz w:val="24"/>
          <w:szCs w:val="24"/>
        </w:rPr>
        <w:t>2</w:t>
      </w:r>
      <w:r w:rsidRPr="003F6D44">
        <w:rPr>
          <w:rFonts w:ascii="Times New Roman" w:hAnsi="Times New Roman"/>
          <w:sz w:val="24"/>
          <w:szCs w:val="24"/>
        </w:rPr>
        <w:t>-T4</w:t>
      </w:r>
    </w:p>
    <w:p w:rsidR="00FF6BDE" w:rsidRPr="003F6D44" w:rsidRDefault="00770A13" w:rsidP="003F6D44">
      <w:pPr>
        <w:pStyle w:val="Paragrafoelenco"/>
        <w:numPr>
          <w:ilvl w:val="0"/>
          <w:numId w:val="10"/>
        </w:numPr>
        <w:shd w:val="clear" w:color="auto" w:fill="FFFFFF" w:themeFill="background1"/>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Pazienti con carcinoma papillare o follicolare che presentino alla diagnosi metastasi locoregionali o a distanza;</w:t>
      </w:r>
    </w:p>
    <w:p w:rsidR="00FF6BDE" w:rsidRPr="003F6D44" w:rsidRDefault="00770A13" w:rsidP="003F6D44">
      <w:pPr>
        <w:pStyle w:val="Paragrafoelenco"/>
        <w:numPr>
          <w:ilvl w:val="0"/>
          <w:numId w:val="9"/>
        </w:numPr>
        <w:shd w:val="clear" w:color="auto" w:fill="FFFFFF" w:themeFill="background1"/>
        <w:tabs>
          <w:tab w:val="left" w:pos="1055"/>
        </w:tabs>
        <w:spacing w:line="360" w:lineRule="auto"/>
        <w:jc w:val="both"/>
        <w:rPr>
          <w:rFonts w:ascii="Times New Roman" w:hAnsi="Times New Roman"/>
          <w:b/>
          <w:sz w:val="24"/>
          <w:szCs w:val="24"/>
        </w:rPr>
      </w:pPr>
      <w:r w:rsidRPr="003F6D44">
        <w:rPr>
          <w:rFonts w:ascii="Times New Roman" w:hAnsi="Times New Roman"/>
          <w:b/>
          <w:sz w:val="24"/>
          <w:szCs w:val="24"/>
        </w:rPr>
        <w:t>Classe di priorità B (ricovero entro 60 gg dalla diagnosi/prenotazione)</w:t>
      </w:r>
    </w:p>
    <w:p w:rsidR="0070606F" w:rsidRPr="003F6D44" w:rsidRDefault="0070606F" w:rsidP="003F6D44">
      <w:pPr>
        <w:pStyle w:val="Paragrafoelenco"/>
        <w:numPr>
          <w:ilvl w:val="0"/>
          <w:numId w:val="12"/>
        </w:numPr>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 xml:space="preserve">Pazienti con citologia delle categorie TIR 5 </w:t>
      </w:r>
      <w:r w:rsidR="00174393" w:rsidRPr="003F6D44">
        <w:rPr>
          <w:rFonts w:ascii="Times New Roman" w:hAnsi="Times New Roman"/>
          <w:sz w:val="24"/>
          <w:szCs w:val="24"/>
        </w:rPr>
        <w:t>T1</w:t>
      </w:r>
    </w:p>
    <w:p w:rsidR="003028B4" w:rsidRPr="003F6D44" w:rsidRDefault="0070606F" w:rsidP="003F6D44">
      <w:pPr>
        <w:pStyle w:val="Paragrafoelenco"/>
        <w:numPr>
          <w:ilvl w:val="0"/>
          <w:numId w:val="12"/>
        </w:numPr>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 xml:space="preserve">Pazienti con citologia delle categorie TIR 4 </w:t>
      </w:r>
      <w:r w:rsidR="00174393" w:rsidRPr="003F6D44">
        <w:rPr>
          <w:rFonts w:ascii="Times New Roman" w:hAnsi="Times New Roman"/>
          <w:sz w:val="24"/>
          <w:szCs w:val="24"/>
        </w:rPr>
        <w:t xml:space="preserve">T1 </w:t>
      </w:r>
    </w:p>
    <w:p w:rsidR="003028B4" w:rsidRPr="003F6D44" w:rsidRDefault="00770A13" w:rsidP="003F6D44">
      <w:pPr>
        <w:pStyle w:val="Paragrafoelenco"/>
        <w:numPr>
          <w:ilvl w:val="0"/>
          <w:numId w:val="12"/>
        </w:numPr>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Pazienti con citologia delle categorie TIR 3 B</w:t>
      </w:r>
    </w:p>
    <w:p w:rsidR="00FF6BDE" w:rsidRPr="003F6D44" w:rsidRDefault="00770A13" w:rsidP="003F6D44">
      <w:pPr>
        <w:pStyle w:val="Paragrafoelenco"/>
        <w:numPr>
          <w:ilvl w:val="0"/>
          <w:numId w:val="12"/>
        </w:numPr>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 xml:space="preserve">Pazienti con citologia TIR3 A (con mutazione) </w:t>
      </w:r>
    </w:p>
    <w:p w:rsidR="003028B4" w:rsidRPr="003F6D44" w:rsidRDefault="003028B4" w:rsidP="003F6D44">
      <w:pPr>
        <w:pStyle w:val="Paragrafoelenco"/>
        <w:tabs>
          <w:tab w:val="left" w:pos="1055"/>
        </w:tabs>
        <w:spacing w:line="360" w:lineRule="auto"/>
        <w:ind w:left="360"/>
        <w:jc w:val="both"/>
        <w:rPr>
          <w:rFonts w:ascii="Times New Roman" w:hAnsi="Times New Roman"/>
          <w:sz w:val="24"/>
          <w:szCs w:val="24"/>
        </w:rPr>
      </w:pPr>
    </w:p>
    <w:p w:rsidR="00FF6BDE" w:rsidRPr="003F6D44" w:rsidRDefault="00770A13" w:rsidP="003F6D44">
      <w:pPr>
        <w:pStyle w:val="Paragrafoelenco"/>
        <w:numPr>
          <w:ilvl w:val="0"/>
          <w:numId w:val="13"/>
        </w:numPr>
        <w:shd w:val="clear" w:color="auto" w:fill="FFFFFF" w:themeFill="background1"/>
        <w:tabs>
          <w:tab w:val="left" w:pos="1055"/>
        </w:tabs>
        <w:spacing w:line="360" w:lineRule="auto"/>
        <w:jc w:val="both"/>
        <w:rPr>
          <w:rFonts w:ascii="Times New Roman" w:hAnsi="Times New Roman"/>
          <w:b/>
          <w:sz w:val="24"/>
          <w:szCs w:val="24"/>
        </w:rPr>
      </w:pPr>
      <w:r w:rsidRPr="003F6D44">
        <w:rPr>
          <w:rFonts w:ascii="Times New Roman" w:hAnsi="Times New Roman"/>
          <w:b/>
          <w:sz w:val="24"/>
          <w:szCs w:val="24"/>
        </w:rPr>
        <w:t xml:space="preserve">Classe di priorità </w:t>
      </w:r>
      <w:r w:rsidR="00667397" w:rsidRPr="003F6D44">
        <w:rPr>
          <w:rFonts w:ascii="Times New Roman" w:hAnsi="Times New Roman"/>
          <w:b/>
          <w:sz w:val="24"/>
          <w:szCs w:val="24"/>
        </w:rPr>
        <w:t>C</w:t>
      </w:r>
      <w:r w:rsidRPr="003F6D44">
        <w:rPr>
          <w:rFonts w:ascii="Times New Roman" w:hAnsi="Times New Roman"/>
          <w:b/>
          <w:sz w:val="24"/>
          <w:szCs w:val="24"/>
        </w:rPr>
        <w:t xml:space="preserve"> (ricovero entro </w:t>
      </w:r>
      <w:r w:rsidR="00501336" w:rsidRPr="003F6D44">
        <w:rPr>
          <w:rFonts w:ascii="Times New Roman" w:hAnsi="Times New Roman"/>
          <w:b/>
          <w:sz w:val="24"/>
          <w:szCs w:val="24"/>
        </w:rPr>
        <w:t>180 giorni</w:t>
      </w:r>
      <w:r w:rsidRPr="003F6D44">
        <w:rPr>
          <w:rFonts w:ascii="Times New Roman" w:hAnsi="Times New Roman"/>
          <w:b/>
          <w:sz w:val="24"/>
          <w:szCs w:val="24"/>
        </w:rPr>
        <w:t xml:space="preserve"> dalla diagnosi/prenotazione)</w:t>
      </w:r>
    </w:p>
    <w:p w:rsidR="00FF6BDE" w:rsidRPr="003F6D44" w:rsidRDefault="00770A13" w:rsidP="003F6D44">
      <w:pPr>
        <w:pStyle w:val="Paragrafoelenco"/>
        <w:numPr>
          <w:ilvl w:val="0"/>
          <w:numId w:val="14"/>
        </w:numPr>
        <w:shd w:val="clear" w:color="auto" w:fill="FFFFFF" w:themeFill="background1"/>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Pazienti con citologia TIR3 A (senza</w:t>
      </w:r>
      <w:r w:rsidR="00051316" w:rsidRPr="003F6D44">
        <w:rPr>
          <w:rFonts w:ascii="Times New Roman" w:hAnsi="Times New Roman"/>
          <w:sz w:val="24"/>
          <w:szCs w:val="24"/>
        </w:rPr>
        <w:t xml:space="preserve"> mutazione) </w:t>
      </w:r>
      <w:r w:rsidR="0087559B" w:rsidRPr="003F6D44">
        <w:rPr>
          <w:rFonts w:ascii="Times New Roman" w:hAnsi="Times New Roman"/>
          <w:sz w:val="24"/>
          <w:szCs w:val="24"/>
        </w:rPr>
        <w:t>T2</w:t>
      </w:r>
      <w:r w:rsidR="00EB6E95" w:rsidRPr="003F6D44">
        <w:rPr>
          <w:rFonts w:ascii="Times New Roman" w:hAnsi="Times New Roman"/>
          <w:sz w:val="24"/>
          <w:szCs w:val="24"/>
        </w:rPr>
        <w:t xml:space="preserve"> - T3</w:t>
      </w:r>
    </w:p>
    <w:p w:rsidR="00FF6BDE" w:rsidRPr="003F6D44" w:rsidRDefault="00FF6BDE" w:rsidP="003F6D44">
      <w:pPr>
        <w:tabs>
          <w:tab w:val="left" w:pos="1055"/>
        </w:tabs>
        <w:spacing w:line="360" w:lineRule="auto"/>
        <w:jc w:val="both"/>
        <w:rPr>
          <w:rFonts w:ascii="Times New Roman" w:hAnsi="Times New Roman"/>
        </w:rPr>
      </w:pPr>
    </w:p>
    <w:p w:rsidR="00FF6BDE" w:rsidRPr="003F6D44" w:rsidRDefault="00770A13" w:rsidP="003F6D44">
      <w:pPr>
        <w:tabs>
          <w:tab w:val="left" w:pos="1055"/>
        </w:tabs>
        <w:spacing w:line="360" w:lineRule="auto"/>
        <w:jc w:val="both"/>
        <w:rPr>
          <w:rFonts w:ascii="Times New Roman" w:hAnsi="Times New Roman"/>
          <w:b/>
        </w:rPr>
      </w:pPr>
      <w:r w:rsidRPr="003F6D44">
        <w:rPr>
          <w:rFonts w:ascii="Times New Roman" w:hAnsi="Times New Roman"/>
          <w:b/>
        </w:rPr>
        <w:t>CHIRURGIA</w:t>
      </w:r>
    </w:p>
    <w:p w:rsidR="00B5565A"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xml:space="preserve">L’estensione dell’atto chirurgico (tiroidectomia totale/lobo-istmectomia; linfectomia dei compartimenti centrali e laterali) sarà modulata in base alle caratteristiche del paziente seguendo le più aggiornate linee guida. </w:t>
      </w:r>
    </w:p>
    <w:p w:rsidR="003C5D50" w:rsidRPr="003F6D44" w:rsidRDefault="003C5D50" w:rsidP="003F6D44">
      <w:pPr>
        <w:pStyle w:val="Paragrafoelenco"/>
        <w:numPr>
          <w:ilvl w:val="0"/>
          <w:numId w:val="15"/>
        </w:numPr>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 xml:space="preserve">Carcinoma differenziato </w:t>
      </w:r>
    </w:p>
    <w:p w:rsidR="00B5565A" w:rsidRPr="003F6D44" w:rsidRDefault="00B5565A" w:rsidP="003F6D44">
      <w:pPr>
        <w:pStyle w:val="Paragrafoelenco"/>
        <w:numPr>
          <w:ilvl w:val="0"/>
          <w:numId w:val="7"/>
        </w:numPr>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La sola lobo-istmectomia tiroidea è un trattamento chirurgico iniziale adeguato per pazienti con</w:t>
      </w:r>
      <w:r w:rsidR="00343C24" w:rsidRPr="003F6D44">
        <w:rPr>
          <w:rFonts w:ascii="Times New Roman" w:hAnsi="Times New Roman"/>
          <w:sz w:val="24"/>
          <w:szCs w:val="24"/>
        </w:rPr>
        <w:t xml:space="preserve"> carcinomi differenziati</w:t>
      </w:r>
      <w:r w:rsidRPr="003F6D44">
        <w:rPr>
          <w:rFonts w:ascii="Times New Roman" w:hAnsi="Times New Roman"/>
          <w:sz w:val="24"/>
          <w:szCs w:val="24"/>
        </w:rPr>
        <w:t xml:space="preserve"> ≤ 1 cm, clinicamente localizzati a un lobo, senza evidenza di estensione extratiroidea o di malattia metastatica ai linfonodi (cN0) o pregressa irradiazione al collo.</w:t>
      </w:r>
    </w:p>
    <w:p w:rsidR="000E7D14" w:rsidRPr="003F6D44" w:rsidRDefault="00B5565A" w:rsidP="003F6D44">
      <w:pPr>
        <w:pStyle w:val="Paragrafoelenco"/>
        <w:numPr>
          <w:ilvl w:val="0"/>
          <w:numId w:val="7"/>
        </w:numPr>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 xml:space="preserve">La tiroidectomia totale è indicata in pazienti </w:t>
      </w:r>
      <w:r w:rsidR="004F1EC1" w:rsidRPr="003F6D44">
        <w:rPr>
          <w:rFonts w:ascii="Times New Roman" w:hAnsi="Times New Roman"/>
          <w:sz w:val="24"/>
          <w:szCs w:val="24"/>
        </w:rPr>
        <w:t>con: carcinoma</w:t>
      </w:r>
      <w:r w:rsidRPr="003F6D44">
        <w:rPr>
          <w:rFonts w:ascii="Times New Roman" w:hAnsi="Times New Roman"/>
          <w:sz w:val="24"/>
          <w:szCs w:val="24"/>
        </w:rPr>
        <w:t xml:space="preserve"> </w:t>
      </w:r>
      <w:r w:rsidR="004F1EC1" w:rsidRPr="003F6D44">
        <w:rPr>
          <w:rFonts w:ascii="Times New Roman" w:hAnsi="Times New Roman"/>
          <w:sz w:val="24"/>
          <w:szCs w:val="24"/>
        </w:rPr>
        <w:t>differenziato &gt;</w:t>
      </w:r>
      <w:r w:rsidRPr="003F6D44">
        <w:rPr>
          <w:rFonts w:ascii="Times New Roman" w:hAnsi="Times New Roman"/>
          <w:sz w:val="24"/>
          <w:szCs w:val="24"/>
        </w:rPr>
        <w:t xml:space="preserve"> 4 cm, </w:t>
      </w:r>
      <w:r w:rsidR="004F1EC1" w:rsidRPr="003F6D44">
        <w:rPr>
          <w:rFonts w:ascii="Times New Roman" w:hAnsi="Times New Roman"/>
          <w:sz w:val="24"/>
          <w:szCs w:val="24"/>
        </w:rPr>
        <w:t>malattia multifocale</w:t>
      </w:r>
      <w:r w:rsidRPr="003F6D44">
        <w:rPr>
          <w:rFonts w:ascii="Times New Roman" w:hAnsi="Times New Roman"/>
          <w:sz w:val="24"/>
          <w:szCs w:val="24"/>
        </w:rPr>
        <w:t>, metastasi linfonodali clinicamente evidenti, estensione extratiroidea macroscopica o metastasi a distanza.</w:t>
      </w:r>
    </w:p>
    <w:p w:rsidR="00D10DE6" w:rsidRPr="003F6D44" w:rsidRDefault="00B5565A" w:rsidP="003F6D44">
      <w:pPr>
        <w:pStyle w:val="Paragrafoelenco"/>
        <w:numPr>
          <w:ilvl w:val="0"/>
          <w:numId w:val="7"/>
        </w:numPr>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 xml:space="preserve"> Ai pazienti con carcinoma differenziato della tiroide &gt; 1 e &lt; 4 cm senza evidenza di estensione extratiroidea e di metastasi linfonodali (N0) può essere proposta </w:t>
      </w:r>
      <w:r w:rsidR="004F1EC1" w:rsidRPr="003F6D44">
        <w:rPr>
          <w:rFonts w:ascii="Times New Roman" w:hAnsi="Times New Roman"/>
          <w:sz w:val="24"/>
          <w:szCs w:val="24"/>
        </w:rPr>
        <w:t>una lobo</w:t>
      </w:r>
      <w:r w:rsidRPr="003F6D44">
        <w:rPr>
          <w:rFonts w:ascii="Times New Roman" w:hAnsi="Times New Roman"/>
          <w:sz w:val="24"/>
          <w:szCs w:val="24"/>
        </w:rPr>
        <w:t>-istmectomia o tiroidectomia totale</w:t>
      </w:r>
      <w:r w:rsidR="009D0C47" w:rsidRPr="003F6D44">
        <w:rPr>
          <w:rFonts w:ascii="Times New Roman" w:hAnsi="Times New Roman"/>
          <w:sz w:val="24"/>
          <w:szCs w:val="24"/>
        </w:rPr>
        <w:t>.</w:t>
      </w:r>
      <w:r w:rsidR="000E7D14" w:rsidRPr="003F6D44">
        <w:rPr>
          <w:rFonts w:ascii="Times New Roman" w:hAnsi="Times New Roman"/>
          <w:sz w:val="24"/>
          <w:szCs w:val="24"/>
        </w:rPr>
        <w:t xml:space="preserve"> </w:t>
      </w:r>
      <w:r w:rsidRPr="003F6D44">
        <w:rPr>
          <w:rFonts w:ascii="Times New Roman" w:hAnsi="Times New Roman"/>
          <w:sz w:val="24"/>
          <w:szCs w:val="24"/>
        </w:rPr>
        <w:t>Può essere preferibile la tiroidectomia totale per consentire il trattamento con iodio radioattivo e per migliorare accuratezza del follow-up o per preferenza del paziente</w:t>
      </w:r>
    </w:p>
    <w:p w:rsidR="00D10DE6" w:rsidRPr="003F6D44" w:rsidRDefault="00770A13" w:rsidP="003F6D44">
      <w:pPr>
        <w:pStyle w:val="Paragrafoelenco"/>
        <w:numPr>
          <w:ilvl w:val="0"/>
          <w:numId w:val="7"/>
        </w:numPr>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 xml:space="preserve">La linfectomia </w:t>
      </w:r>
      <w:r w:rsidR="00A06CED" w:rsidRPr="003F6D44">
        <w:rPr>
          <w:rFonts w:ascii="Times New Roman" w:hAnsi="Times New Roman"/>
          <w:sz w:val="24"/>
          <w:szCs w:val="24"/>
        </w:rPr>
        <w:t xml:space="preserve">nei casi di </w:t>
      </w:r>
      <w:r w:rsidRPr="003F6D44">
        <w:rPr>
          <w:rFonts w:ascii="Times New Roman" w:hAnsi="Times New Roman"/>
          <w:sz w:val="24"/>
          <w:szCs w:val="24"/>
        </w:rPr>
        <w:t xml:space="preserve"> malattia </w:t>
      </w:r>
      <w:r w:rsidR="00A06CED" w:rsidRPr="003F6D44">
        <w:rPr>
          <w:rFonts w:ascii="Times New Roman" w:hAnsi="Times New Roman"/>
          <w:sz w:val="24"/>
          <w:szCs w:val="24"/>
        </w:rPr>
        <w:t xml:space="preserve">linfonodale documentata o </w:t>
      </w:r>
      <w:r w:rsidR="00E771FF" w:rsidRPr="003F6D44">
        <w:rPr>
          <w:rFonts w:ascii="Times New Roman" w:hAnsi="Times New Roman"/>
          <w:sz w:val="24"/>
          <w:szCs w:val="24"/>
        </w:rPr>
        <w:t>sospetta è sempre indicata</w:t>
      </w:r>
      <w:r w:rsidR="00D10DE6" w:rsidRPr="003F6D44">
        <w:rPr>
          <w:rStyle w:val="Rimandonotaapidipagina"/>
          <w:rFonts w:ascii="Times New Roman" w:hAnsi="Times New Roman"/>
          <w:sz w:val="24"/>
          <w:szCs w:val="24"/>
        </w:rPr>
        <w:footnoteReference w:id="5"/>
      </w:r>
      <w:r w:rsidR="00D10DE6" w:rsidRPr="003F6D44">
        <w:rPr>
          <w:rFonts w:ascii="Times New Roman" w:hAnsi="Times New Roman"/>
          <w:sz w:val="24"/>
          <w:szCs w:val="24"/>
          <w:lang w:eastAsia="it-IT"/>
        </w:rPr>
        <w:t xml:space="preserve"> </w:t>
      </w:r>
      <w:r w:rsidR="00E771FF" w:rsidRPr="003F6D44">
        <w:rPr>
          <w:rFonts w:ascii="Times New Roman" w:hAnsi="Times New Roman"/>
          <w:sz w:val="24"/>
          <w:szCs w:val="24"/>
          <w:lang w:eastAsia="it-IT"/>
        </w:rPr>
        <w:t>.</w:t>
      </w:r>
    </w:p>
    <w:p w:rsidR="000E7D14" w:rsidRPr="003F6D44" w:rsidRDefault="000E7D14" w:rsidP="003F6D44">
      <w:pPr>
        <w:pStyle w:val="Paragrafoelenco"/>
        <w:tabs>
          <w:tab w:val="left" w:pos="1055"/>
        </w:tabs>
        <w:spacing w:line="360" w:lineRule="auto"/>
        <w:jc w:val="both"/>
        <w:rPr>
          <w:rFonts w:ascii="Times New Roman" w:hAnsi="Times New Roman"/>
          <w:sz w:val="24"/>
          <w:szCs w:val="24"/>
        </w:rPr>
      </w:pPr>
    </w:p>
    <w:p w:rsidR="004A2366" w:rsidRPr="003F6D44" w:rsidRDefault="003C5D50" w:rsidP="003F6D44">
      <w:pPr>
        <w:pStyle w:val="Paragrafoelenco"/>
        <w:numPr>
          <w:ilvl w:val="0"/>
          <w:numId w:val="15"/>
        </w:numPr>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 xml:space="preserve">Carcinoma midollare della tiroide: </w:t>
      </w:r>
    </w:p>
    <w:p w:rsidR="00B142E7" w:rsidRPr="003F6D44" w:rsidRDefault="003C5D50" w:rsidP="003F6D44">
      <w:pPr>
        <w:pStyle w:val="Paragrafoelenco"/>
        <w:numPr>
          <w:ilvl w:val="0"/>
          <w:numId w:val="16"/>
        </w:numPr>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 xml:space="preserve">Il trattamento chirurgico prevede la tiroidectomia </w:t>
      </w:r>
      <w:r w:rsidR="004A2366" w:rsidRPr="003F6D44">
        <w:rPr>
          <w:rFonts w:ascii="Times New Roman" w:hAnsi="Times New Roman"/>
          <w:sz w:val="24"/>
          <w:szCs w:val="24"/>
        </w:rPr>
        <w:t>totale e</w:t>
      </w:r>
      <w:r w:rsidRPr="003F6D44">
        <w:rPr>
          <w:rFonts w:ascii="Times New Roman" w:hAnsi="Times New Roman"/>
          <w:sz w:val="24"/>
          <w:szCs w:val="24"/>
        </w:rPr>
        <w:t xml:space="preserve"> la dissezione del compartimento centrale.</w:t>
      </w:r>
    </w:p>
    <w:p w:rsidR="003C5D50" w:rsidRPr="003F6D44" w:rsidRDefault="003C5D50" w:rsidP="003F6D44">
      <w:pPr>
        <w:pStyle w:val="Paragrafoelenco"/>
        <w:numPr>
          <w:ilvl w:val="0"/>
          <w:numId w:val="16"/>
        </w:numPr>
        <w:tabs>
          <w:tab w:val="left" w:pos="1055"/>
        </w:tabs>
        <w:spacing w:line="360" w:lineRule="auto"/>
        <w:jc w:val="both"/>
        <w:rPr>
          <w:rFonts w:ascii="Times New Roman" w:hAnsi="Times New Roman"/>
          <w:sz w:val="24"/>
          <w:szCs w:val="24"/>
        </w:rPr>
      </w:pPr>
      <w:r w:rsidRPr="003F6D44">
        <w:rPr>
          <w:rFonts w:ascii="Times New Roman" w:hAnsi="Times New Roman"/>
          <w:sz w:val="24"/>
          <w:szCs w:val="24"/>
        </w:rPr>
        <w:t xml:space="preserve">Linfoadenectomie più estese </w:t>
      </w:r>
      <w:r w:rsidR="00CF6DF0" w:rsidRPr="003F6D44">
        <w:rPr>
          <w:rFonts w:ascii="Times New Roman" w:hAnsi="Times New Roman"/>
          <w:sz w:val="24"/>
          <w:szCs w:val="24"/>
        </w:rPr>
        <w:t>sono indicate</w:t>
      </w:r>
      <w:r w:rsidR="00B142E7" w:rsidRPr="003F6D44">
        <w:rPr>
          <w:rFonts w:ascii="Times New Roman" w:hAnsi="Times New Roman"/>
          <w:sz w:val="24"/>
          <w:szCs w:val="24"/>
        </w:rPr>
        <w:t xml:space="preserve"> in relazione ai</w:t>
      </w:r>
      <w:r w:rsidRPr="003F6D44">
        <w:rPr>
          <w:rFonts w:ascii="Times New Roman" w:hAnsi="Times New Roman"/>
          <w:sz w:val="24"/>
          <w:szCs w:val="24"/>
        </w:rPr>
        <w:t xml:space="preserve"> </w:t>
      </w:r>
      <w:r w:rsidR="008071D4" w:rsidRPr="003F6D44">
        <w:rPr>
          <w:rFonts w:ascii="Times New Roman" w:hAnsi="Times New Roman"/>
          <w:sz w:val="24"/>
          <w:szCs w:val="24"/>
        </w:rPr>
        <w:t xml:space="preserve">valori </w:t>
      </w:r>
      <w:r w:rsidR="004A2366" w:rsidRPr="003F6D44">
        <w:rPr>
          <w:rFonts w:ascii="Times New Roman" w:hAnsi="Times New Roman"/>
          <w:sz w:val="24"/>
          <w:szCs w:val="24"/>
        </w:rPr>
        <w:t>preoperatori di</w:t>
      </w:r>
      <w:r w:rsidR="008071D4" w:rsidRPr="003F6D44">
        <w:rPr>
          <w:rFonts w:ascii="Times New Roman" w:hAnsi="Times New Roman"/>
          <w:sz w:val="24"/>
          <w:szCs w:val="24"/>
        </w:rPr>
        <w:t xml:space="preserve"> c</w:t>
      </w:r>
      <w:r w:rsidRPr="003F6D44">
        <w:rPr>
          <w:rFonts w:ascii="Times New Roman" w:hAnsi="Times New Roman"/>
          <w:sz w:val="24"/>
          <w:szCs w:val="24"/>
        </w:rPr>
        <w:t xml:space="preserve">alcitonina e </w:t>
      </w:r>
      <w:r w:rsidR="00F72A34" w:rsidRPr="003F6D44">
        <w:rPr>
          <w:rFonts w:ascii="Times New Roman" w:hAnsi="Times New Roman"/>
          <w:sz w:val="24"/>
          <w:szCs w:val="24"/>
        </w:rPr>
        <w:t>a</w:t>
      </w:r>
      <w:r w:rsidR="00CF6DF0" w:rsidRPr="003F6D44">
        <w:rPr>
          <w:rFonts w:ascii="Times New Roman" w:hAnsi="Times New Roman"/>
          <w:sz w:val="24"/>
          <w:szCs w:val="24"/>
        </w:rPr>
        <w:t xml:space="preserve">ll’imaging </w:t>
      </w:r>
      <w:r w:rsidR="00F72A34" w:rsidRPr="003F6D44">
        <w:rPr>
          <w:rFonts w:ascii="Times New Roman" w:hAnsi="Times New Roman"/>
          <w:sz w:val="24"/>
          <w:szCs w:val="24"/>
        </w:rPr>
        <w:t>preoperatori</w:t>
      </w:r>
      <w:r w:rsidR="00CF6DF0" w:rsidRPr="003F6D44">
        <w:rPr>
          <w:rFonts w:ascii="Times New Roman" w:hAnsi="Times New Roman"/>
          <w:sz w:val="24"/>
          <w:szCs w:val="24"/>
        </w:rPr>
        <w:t>o del collo</w:t>
      </w:r>
      <w:r w:rsidR="000E7D14" w:rsidRPr="003F6D44">
        <w:rPr>
          <w:rFonts w:ascii="Times New Roman" w:hAnsi="Times New Roman"/>
          <w:sz w:val="24"/>
          <w:szCs w:val="24"/>
        </w:rPr>
        <w:t xml:space="preserve">. </w:t>
      </w:r>
      <w:r w:rsidRPr="003F6D44">
        <w:rPr>
          <w:rFonts w:ascii="Times New Roman" w:hAnsi="Times New Roman"/>
          <w:sz w:val="24"/>
          <w:szCs w:val="24"/>
        </w:rPr>
        <w:t xml:space="preserve"> </w:t>
      </w:r>
    </w:p>
    <w:p w:rsidR="00CF6DF0" w:rsidRPr="003F6D44" w:rsidRDefault="00CF6DF0" w:rsidP="003F6D44">
      <w:pPr>
        <w:pStyle w:val="Paragrafoelenco"/>
        <w:tabs>
          <w:tab w:val="left" w:pos="1055"/>
        </w:tabs>
        <w:spacing w:line="360" w:lineRule="auto"/>
        <w:ind w:left="708"/>
        <w:jc w:val="both"/>
        <w:rPr>
          <w:rFonts w:ascii="Times New Roman" w:hAnsi="Times New Roman"/>
          <w:sz w:val="24"/>
          <w:szCs w:val="24"/>
        </w:rPr>
      </w:pPr>
      <w:r w:rsidRPr="003F6D44">
        <w:rPr>
          <w:rFonts w:ascii="Times New Roman" w:hAnsi="Times New Roman"/>
          <w:sz w:val="24"/>
          <w:szCs w:val="24"/>
        </w:rPr>
        <w:t>In presenza di carcinoma midollare della tiroide è indispensabile il dosaggio preoperatorio delle catecolamine e metanefrine urinarie, per escludere la presenza di un feocromocitoma</w:t>
      </w:r>
      <w:r w:rsidR="00D10DE6" w:rsidRPr="003F6D44">
        <w:rPr>
          <w:rStyle w:val="Rimandonotaapidipagina"/>
          <w:rFonts w:ascii="Times New Roman" w:hAnsi="Times New Roman"/>
          <w:sz w:val="24"/>
          <w:szCs w:val="24"/>
        </w:rPr>
        <w:footnoteReference w:id="6"/>
      </w:r>
      <w:r w:rsidR="00036156" w:rsidRPr="003F6D44">
        <w:rPr>
          <w:rFonts w:ascii="Times New Roman" w:hAnsi="Times New Roman"/>
          <w:sz w:val="24"/>
          <w:szCs w:val="24"/>
        </w:rPr>
        <w:t>.</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Il referto istologico definitivo dovrà essere reso disponibile entro 15/30 giorni dall’intervento. Esso è necessario per la stratificazione prognostica dei pazienti, dalla quale dipende la necessità di praticare o meno la terapia radio-metabolica</w:t>
      </w:r>
      <w:r w:rsidR="00211A1B" w:rsidRPr="003F6D44">
        <w:rPr>
          <w:rFonts w:ascii="Times New Roman" w:hAnsi="Times New Roman"/>
        </w:rPr>
        <w:t>, in caso di carcinomi differenziati della tiroide</w:t>
      </w:r>
      <w:r w:rsidRPr="003F6D44">
        <w:rPr>
          <w:rFonts w:ascii="Times New Roman" w:hAnsi="Times New Roman"/>
        </w:rPr>
        <w:t xml:space="preserve">. Se l’intervento chirurgico è condotto internamente al centro di II livello, sarà cura del </w:t>
      </w:r>
      <w:r w:rsidRPr="003F6D44">
        <w:rPr>
          <w:rFonts w:ascii="Times New Roman" w:hAnsi="Times New Roman"/>
          <w:i/>
        </w:rPr>
        <w:t>Case Manager</w:t>
      </w:r>
      <w:r w:rsidRPr="003F6D44">
        <w:rPr>
          <w:rFonts w:ascii="Times New Roman" w:hAnsi="Times New Roman"/>
        </w:rPr>
        <w:t xml:space="preserve"> </w:t>
      </w:r>
      <w:r w:rsidR="000B2C37" w:rsidRPr="003F6D44">
        <w:rPr>
          <w:rFonts w:ascii="Times New Roman" w:hAnsi="Times New Roman"/>
        </w:rPr>
        <w:t xml:space="preserve">o del medico </w:t>
      </w:r>
      <w:r w:rsidR="00BD1F96" w:rsidRPr="003F6D44">
        <w:rPr>
          <w:rFonts w:ascii="Times New Roman" w:hAnsi="Times New Roman"/>
        </w:rPr>
        <w:t xml:space="preserve">afferente al GOM </w:t>
      </w:r>
      <w:r w:rsidR="000B2C37" w:rsidRPr="003F6D44">
        <w:rPr>
          <w:rFonts w:ascii="Times New Roman" w:hAnsi="Times New Roman"/>
        </w:rPr>
        <w:t xml:space="preserve">che ha preso in carico il paziente </w:t>
      </w:r>
      <w:r w:rsidRPr="003F6D44">
        <w:rPr>
          <w:rFonts w:ascii="Times New Roman" w:hAnsi="Times New Roman"/>
        </w:rPr>
        <w:t xml:space="preserve">prenotare al momento della disponibilità dell’esame istologico definitivo una nuova visita, che sarà erogata entro 7 giorni, per consentire al GOM la definizione del successivo percorso di cura o follow-up. In caso di pazienti sottoposti ad intervento chirurgico presso strutture esterne al Centro di II livello, la Presa in Carico verrà comunque garantita entro 7 giorni dal primo contatto presso un GOM della Rete. </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xml:space="preserve">La gestione post-chirurgica (follow-up </w:t>
      </w:r>
      <w:r w:rsidR="0099410C" w:rsidRPr="003F6D44">
        <w:rPr>
          <w:rFonts w:ascii="Times New Roman" w:hAnsi="Times New Roman"/>
        </w:rPr>
        <w:t>e</w:t>
      </w:r>
      <w:r w:rsidR="00211A1B" w:rsidRPr="003F6D44">
        <w:rPr>
          <w:rFonts w:ascii="Times New Roman" w:hAnsi="Times New Roman"/>
        </w:rPr>
        <w:t xml:space="preserve">ndocrinologico e </w:t>
      </w:r>
      <w:r w:rsidRPr="003F6D44">
        <w:rPr>
          <w:rFonts w:ascii="Times New Roman" w:hAnsi="Times New Roman"/>
        </w:rPr>
        <w:t>oncologico ed eventuali ulteriori approcci terapeutici) andrà effettuata nei centri di I, II e III livello, su indicazione del GOM responsabile della Presa in Carico. Il ricorso ad ulteriore terapia (chirurgica, medico-nucleare, farmacologica) dovrà avvenire in tempi e con le modalità previste dalle più aggiornate linee guida del settore.</w:t>
      </w:r>
    </w:p>
    <w:p w:rsidR="00FF6BDE" w:rsidRPr="003F6D44" w:rsidRDefault="00770A13" w:rsidP="003F6D44">
      <w:pPr>
        <w:tabs>
          <w:tab w:val="left" w:pos="1055"/>
        </w:tabs>
        <w:spacing w:line="360" w:lineRule="auto"/>
        <w:jc w:val="both"/>
        <w:rPr>
          <w:rFonts w:ascii="Times New Roman" w:hAnsi="Times New Roman"/>
        </w:rPr>
      </w:pPr>
      <w:r w:rsidRPr="003F6D44">
        <w:rPr>
          <w:rFonts w:ascii="Times New Roman" w:hAnsi="Times New Roman"/>
        </w:rPr>
        <w:t xml:space="preserve">Nei pazienti sottoposti a lobectomia sarà indicata la totalizzazione del precedente intervento se i carcinomi presentano dimensioni &gt;4 cm o estensione extratiroidea, variante istologica aggressiva e/o evidenza istologica di linfonodi sede di metastasi. </w:t>
      </w:r>
    </w:p>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I pazienti a basso rischio includono i casi di tumore primitivo ≤4 cm (pT1-2) con patologia confinata alla tiroide (assenza di coinvolgimento del tessuto peritiroideo e delle strutture cervicali e di metastasi a distanza), assenza di linfoadenopatie laterocervicali metastatiche o quando presenti di numero&lt;5 e micrometastasi (&lt;0.2 cm) ed in assenza di caratteristiche istologiche sfavorevoli (varianti aggressive ed evidenza di invasione vascolare). Per questa tipologia di pazienti la terapia radio-metabolica non è indicata</w:t>
      </w:r>
      <w:r w:rsidR="003E2F39" w:rsidRPr="003F6D44">
        <w:rPr>
          <w:rFonts w:ascii="Times New Roman" w:hAnsi="Times New Roman"/>
        </w:rPr>
        <w:t xml:space="preserve"> se non in casi selezionati</w:t>
      </w:r>
      <w:r w:rsidRPr="003F6D44">
        <w:rPr>
          <w:rFonts w:ascii="Times New Roman" w:hAnsi="Times New Roman"/>
        </w:rPr>
        <w:t xml:space="preserve">. Per i pazienti a rischio intermedio (istologia aggressiva, coinvolgimento linfonodale per un numero di linfonodi &gt;5 con dimensioni comprese tra 0.2 e 3 cm, invasione microscopica dei tessuti peritiroidei, presenza di mutazione BRAF v600E) e ed alto rischio (tumore primitivo &gt;4 cm, invasione macroscopica dei tessuti peritiroidei, presenza di metastasi linfonodali &gt;3 cm e/o di metastasi a distanza) sussiste invece indicazione a praticare terapia radio-metabolica (Mappa 3). </w:t>
      </w:r>
    </w:p>
    <w:p w:rsidR="004A2366" w:rsidRPr="003F6D44" w:rsidRDefault="004A2366" w:rsidP="003F6D44">
      <w:pPr>
        <w:tabs>
          <w:tab w:val="left" w:pos="1595"/>
        </w:tabs>
        <w:spacing w:line="360" w:lineRule="auto"/>
        <w:jc w:val="both"/>
        <w:rPr>
          <w:rFonts w:ascii="Times New Roman" w:hAnsi="Times New Roman"/>
        </w:rPr>
      </w:pPr>
    </w:p>
    <w:p w:rsidR="00FF6BDE" w:rsidRPr="003F6D44" w:rsidRDefault="00FF6BDE" w:rsidP="003F6D44">
      <w:pPr>
        <w:tabs>
          <w:tab w:val="left" w:pos="1595"/>
        </w:tabs>
        <w:spacing w:line="360" w:lineRule="auto"/>
        <w:jc w:val="both"/>
        <w:rPr>
          <w:rFonts w:ascii="Times New Roman" w:hAnsi="Times New Roman"/>
        </w:rPr>
      </w:pPr>
    </w:p>
    <w:p w:rsidR="00FF6BDE"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 xml:space="preserve">La terapia radio-metabolica, laddove indicata, sarà praticata in centri di II-III livello afferenti al GOM secondo le modalità e le tempistiche approvate dalle più recenti linee guida. </w:t>
      </w:r>
    </w:p>
    <w:p w:rsidR="00FF6BDE" w:rsidRPr="003F6D44" w:rsidRDefault="004F1EC1" w:rsidP="003F6D44">
      <w:pPr>
        <w:tabs>
          <w:tab w:val="left" w:pos="1595"/>
        </w:tabs>
        <w:spacing w:line="360" w:lineRule="auto"/>
        <w:jc w:val="both"/>
        <w:rPr>
          <w:rFonts w:ascii="Times New Roman" w:hAnsi="Times New Roman"/>
        </w:rPr>
      </w:pPr>
      <w:r w:rsidRPr="003F6D44">
        <w:rPr>
          <w:rFonts w:ascii="Times New Roman" w:hAnsi="Times New Roman"/>
          <w:noProof/>
          <w:lang w:eastAsia="it-IT"/>
        </w:rPr>
        <w:drawing>
          <wp:anchor distT="0" distB="0" distL="114300" distR="114300" simplePos="0" relativeHeight="251679232" behindDoc="0" locked="0" layoutInCell="1" allowOverlap="1" wp14:anchorId="24C914F6" wp14:editId="5135F25D">
            <wp:simplePos x="0" y="0"/>
            <wp:positionH relativeFrom="margin">
              <wp:posOffset>-156845</wp:posOffset>
            </wp:positionH>
            <wp:positionV relativeFrom="margin">
              <wp:posOffset>2896133</wp:posOffset>
            </wp:positionV>
            <wp:extent cx="6334760" cy="4023360"/>
            <wp:effectExtent l="0" t="0" r="8890" b="0"/>
            <wp:wrapSquare wrapText="bothSides"/>
            <wp:docPr id="1030" name="Immagine 21"/>
            <wp:cNvGraphicFramePr/>
            <a:graphic xmlns:a="http://schemas.openxmlformats.org/drawingml/2006/main">
              <a:graphicData uri="http://schemas.openxmlformats.org/drawingml/2006/picture">
                <pic:pic xmlns:pic="http://schemas.openxmlformats.org/drawingml/2006/picture">
                  <pic:nvPicPr>
                    <pic:cNvPr id="1030" name="Immagine 21"/>
                    <pic:cNvPicPr/>
                  </pic:nvPicPr>
                  <pic:blipFill>
                    <a:blip r:embed="rId32" cstate="print"/>
                    <a:srcRect/>
                    <a:stretch>
                      <a:fillRect/>
                    </a:stretch>
                  </pic:blipFill>
                  <pic:spPr>
                    <a:xfrm>
                      <a:off x="0" y="0"/>
                      <a:ext cx="6334760" cy="4023360"/>
                    </a:xfrm>
                    <a:prstGeom prst="rect">
                      <a:avLst/>
                    </a:prstGeom>
                  </pic:spPr>
                </pic:pic>
              </a:graphicData>
            </a:graphic>
            <wp14:sizeRelH relativeFrom="margin">
              <wp14:pctWidth>0</wp14:pctWidth>
            </wp14:sizeRelH>
            <wp14:sizeRelV relativeFrom="margin">
              <wp14:pctHeight>0</wp14:pctHeight>
            </wp14:sizeRelV>
          </wp:anchor>
        </w:drawing>
      </w:r>
      <w:r w:rsidR="00770A13" w:rsidRPr="003F6D44">
        <w:rPr>
          <w:rFonts w:ascii="Times New Roman" w:hAnsi="Times New Roman"/>
        </w:rPr>
        <w:t xml:space="preserve">  </w:t>
      </w:r>
    </w:p>
    <w:p w:rsidR="006B11DD" w:rsidRPr="003F6D44" w:rsidRDefault="006B11DD" w:rsidP="003F6D44">
      <w:pPr>
        <w:tabs>
          <w:tab w:val="left" w:pos="1595"/>
        </w:tabs>
        <w:spacing w:line="360" w:lineRule="auto"/>
        <w:jc w:val="both"/>
        <w:rPr>
          <w:rFonts w:ascii="Times New Roman" w:hAnsi="Times New Roman"/>
        </w:rPr>
      </w:pPr>
    </w:p>
    <w:p w:rsidR="00FF6BDE" w:rsidRDefault="00FF6BDE" w:rsidP="003F6D44">
      <w:pPr>
        <w:tabs>
          <w:tab w:val="left" w:pos="1595"/>
        </w:tabs>
        <w:spacing w:line="360" w:lineRule="auto"/>
        <w:jc w:val="both"/>
        <w:rPr>
          <w:rFonts w:ascii="Times New Roman" w:hAnsi="Times New Roman"/>
          <w:b/>
          <w:caps/>
        </w:rPr>
      </w:pPr>
    </w:p>
    <w:p w:rsidR="00485E8C" w:rsidRDefault="00485E8C" w:rsidP="003F6D44">
      <w:pPr>
        <w:tabs>
          <w:tab w:val="left" w:pos="1595"/>
        </w:tabs>
        <w:spacing w:line="360" w:lineRule="auto"/>
        <w:jc w:val="both"/>
        <w:rPr>
          <w:rFonts w:ascii="Times New Roman" w:hAnsi="Times New Roman"/>
          <w:b/>
          <w:caps/>
        </w:rPr>
      </w:pPr>
    </w:p>
    <w:p w:rsidR="00485E8C" w:rsidRDefault="00485E8C" w:rsidP="003F6D44">
      <w:pPr>
        <w:tabs>
          <w:tab w:val="left" w:pos="1595"/>
        </w:tabs>
        <w:spacing w:line="360" w:lineRule="auto"/>
        <w:jc w:val="both"/>
        <w:rPr>
          <w:rFonts w:ascii="Times New Roman" w:hAnsi="Times New Roman"/>
          <w:b/>
          <w:caps/>
        </w:rPr>
      </w:pPr>
    </w:p>
    <w:p w:rsidR="00485E8C" w:rsidRDefault="00485E8C" w:rsidP="003F6D44">
      <w:pPr>
        <w:tabs>
          <w:tab w:val="left" w:pos="1595"/>
        </w:tabs>
        <w:spacing w:line="360" w:lineRule="auto"/>
        <w:jc w:val="both"/>
        <w:rPr>
          <w:rFonts w:ascii="Times New Roman" w:hAnsi="Times New Roman"/>
          <w:b/>
          <w:caps/>
        </w:rPr>
      </w:pPr>
    </w:p>
    <w:p w:rsidR="00485E8C" w:rsidRDefault="00485E8C" w:rsidP="003F6D44">
      <w:pPr>
        <w:tabs>
          <w:tab w:val="left" w:pos="1595"/>
        </w:tabs>
        <w:spacing w:line="360" w:lineRule="auto"/>
        <w:jc w:val="both"/>
        <w:rPr>
          <w:rFonts w:ascii="Times New Roman" w:hAnsi="Times New Roman"/>
          <w:b/>
          <w:caps/>
        </w:rPr>
      </w:pPr>
    </w:p>
    <w:p w:rsidR="00485E8C" w:rsidRPr="003F6D44" w:rsidRDefault="00485E8C" w:rsidP="003F6D44">
      <w:pPr>
        <w:tabs>
          <w:tab w:val="left" w:pos="1595"/>
        </w:tabs>
        <w:spacing w:line="360" w:lineRule="auto"/>
        <w:jc w:val="both"/>
        <w:rPr>
          <w:rFonts w:ascii="Times New Roman" w:hAnsi="Times New Roman"/>
          <w:b/>
          <w:caps/>
        </w:rPr>
      </w:pPr>
    </w:p>
    <w:p w:rsidR="004A2366" w:rsidRPr="003F6D44" w:rsidRDefault="004A2366" w:rsidP="003F6D44">
      <w:pPr>
        <w:tabs>
          <w:tab w:val="left" w:pos="1595"/>
        </w:tabs>
        <w:spacing w:line="360" w:lineRule="auto"/>
        <w:jc w:val="both"/>
        <w:rPr>
          <w:rFonts w:ascii="Times New Roman" w:hAnsi="Times New Roman"/>
          <w:b/>
          <w:caps/>
        </w:rPr>
      </w:pPr>
    </w:p>
    <w:p w:rsidR="00FF6BDE" w:rsidRPr="003F6D44" w:rsidRDefault="00770A13" w:rsidP="003F6D44">
      <w:pPr>
        <w:tabs>
          <w:tab w:val="left" w:pos="1595"/>
        </w:tabs>
        <w:spacing w:line="360" w:lineRule="auto"/>
        <w:jc w:val="both"/>
        <w:rPr>
          <w:rFonts w:ascii="Times New Roman" w:hAnsi="Times New Roman"/>
          <w:b/>
          <w:caps/>
        </w:rPr>
      </w:pPr>
      <w:r w:rsidRPr="003F6D44">
        <w:rPr>
          <w:rFonts w:ascii="Times New Roman" w:hAnsi="Times New Roman"/>
          <w:b/>
          <w:caps/>
        </w:rPr>
        <w:t>Percorso terapeutico per persone con cancro tiroideo avanzato</w:t>
      </w:r>
    </w:p>
    <w:p w:rsidR="00FF6BDE" w:rsidRDefault="00770A13" w:rsidP="003F6D44">
      <w:pPr>
        <w:spacing w:line="360" w:lineRule="auto"/>
        <w:jc w:val="both"/>
        <w:rPr>
          <w:rFonts w:ascii="Times New Roman" w:hAnsi="Times New Roman"/>
        </w:rPr>
      </w:pPr>
      <w:r w:rsidRPr="003F6D44">
        <w:rPr>
          <w:rFonts w:ascii="Times New Roman" w:hAnsi="Times New Roman"/>
        </w:rPr>
        <w:t xml:space="preserve">Nel 10-15% dei pazienti affetti da carcinoma tiroideo differenziato (papillifero e follicolare), la forma di gran lunga più frequente di cancro tiroideo, si sviluppa una malattia avanzata, loco-regionale e/o metastatica a distanza. In circa la metà di questi pazienti la neoplasia perde la sensibilità al radio-iodio, rendendo inefficace la terapia radio-metabolica. Il carcinoma differenziato tiroideo iodo-refrattario rappresenta un’entità clinica indipendente con una prognosi sfavorevole, infatti, i tassi di sopravvivenza a 10 anni sono del 10% ed il tempo di sopravvivenza mediano è di 2.5-3.5 anni. Fino a pochi anni fa il carcinoma differenziato iodo-refrattario veniva trattato unicamente con polichemioterapia o monochemioterapia, impiegando regimi contenenti antracicline (cisplatino-doxorubicina) o taxani (carboplatino-paclitaxel), ottenendo una percentuale di risposte obiettive variabile dal 5 al 15%. Data la sostanziale chemioresistenza di tale patologia, negli ultimi 5-10 anni sono stati disegnati ed espletati diversi studi clinici con terapie a bersaglio molecolare specifico, allo scopo di migliorare l’efficacia della terapia sistemica e di ottenere un miglior tasso di risposte obiettive. Ad oggi, gli inibitori tirosino-chinasici sorafenib e lenvatinib, sono stati approvati per il trattamento dei carcinomi tiroidei differenziati (papillifero e follicolare) iodio-refrattari in fase avanzata in prima linea. Tali farmaci sono inibitori, non selettivi, di diversi enzimi esercitanti attività tirosin-kinasica, fortemente coinvolti nell’incremento dell’attività proliferativa delle cellule tumorali. Pertanto, tali farmaci esercitano, in ultima analisi, un’attività antiproliferativa, Essi, in particolare, inibiscono l’azione di tirosin kinasi quali </w:t>
      </w:r>
      <w:r w:rsidRPr="003F6D44">
        <w:rPr>
          <w:rFonts w:ascii="Times New Roman" w:hAnsi="Times New Roman"/>
          <w:i/>
        </w:rPr>
        <w:t>B-RAF, Raf-1, RET, c-kit, Flt-3</w:t>
      </w:r>
      <w:r w:rsidRPr="003F6D44">
        <w:rPr>
          <w:rFonts w:ascii="Times New Roman" w:hAnsi="Times New Roman"/>
        </w:rPr>
        <w:t xml:space="preserve">. Il più recente dei suddetti farmaci (il lenvatinib) ha uno spettro d’azione più ampio, essendo capace di inibire anche </w:t>
      </w:r>
      <w:r w:rsidRPr="003F6D44">
        <w:rPr>
          <w:rFonts w:ascii="Times New Roman" w:hAnsi="Times New Roman"/>
          <w:i/>
        </w:rPr>
        <w:t>RET e c-Kit</w:t>
      </w:r>
      <w:r w:rsidRPr="003F6D44">
        <w:rPr>
          <w:rFonts w:ascii="Times New Roman" w:hAnsi="Times New Roman"/>
        </w:rPr>
        <w:t xml:space="preserve">. Sia il sorafenib che il lenvatinib esercitano inoltre attività anti angiogenica, inibendo la neoformazione di capillari e vasi intratumorali (che “nutrono” il tumore) attraverso il blocco dei recettori del </w:t>
      </w:r>
      <w:r w:rsidRPr="003F6D44">
        <w:rPr>
          <w:rFonts w:ascii="Times New Roman" w:hAnsi="Times New Roman"/>
          <w:i/>
        </w:rPr>
        <w:t>VEGF</w:t>
      </w:r>
      <w:r w:rsidRPr="003F6D44">
        <w:rPr>
          <w:rFonts w:ascii="Times New Roman" w:hAnsi="Times New Roman"/>
        </w:rPr>
        <w:t xml:space="preserve"> e del recettore beta del </w:t>
      </w:r>
      <w:r w:rsidRPr="003F6D44">
        <w:rPr>
          <w:rFonts w:ascii="Times New Roman" w:hAnsi="Times New Roman"/>
          <w:i/>
        </w:rPr>
        <w:t>PDGF</w:t>
      </w:r>
      <w:r w:rsidRPr="003F6D44">
        <w:rPr>
          <w:rFonts w:ascii="Times New Roman" w:hAnsi="Times New Roman"/>
        </w:rPr>
        <w:t xml:space="preserve">. Suddetti farmaci vanno impiegati in caso di comprovata iodo-refrattarietà (somministrazione pregressa di 600 mCi di Iodio-131, assenza di fissazione del radio-iodio da parte di una o più metastasi radiologicamente evidenti, progressione di malattia nei 6-12 mesi dopo la somministrazione del radio-iodio) ed in presenza di documentata progressione radiologica o clinica di malattia.  Recentemente l’AIFA ha approvato per l’uso in seconda linea, a fallimento con Lenvatinib, anche il Cabozantinib. Quest’ultimo è un inibitore di tirosin chinasi avente un meccanismo d’azione simile ma non identico al Lenvatinib, bloccando anche la chinasi </w:t>
      </w:r>
      <w:r w:rsidRPr="003F6D44">
        <w:rPr>
          <w:rFonts w:ascii="Times New Roman" w:hAnsi="Times New Roman"/>
          <w:i/>
        </w:rPr>
        <w:t>c-MET</w:t>
      </w:r>
      <w:r w:rsidRPr="003F6D44">
        <w:rPr>
          <w:rFonts w:ascii="Times New Roman" w:hAnsi="Times New Roman"/>
        </w:rPr>
        <w:t xml:space="preserve">. Di recente approvazione, in pazienti presentanti </w:t>
      </w:r>
      <w:r w:rsidR="000B2C37" w:rsidRPr="003F6D44">
        <w:rPr>
          <w:rFonts w:ascii="Times New Roman" w:hAnsi="Times New Roman"/>
        </w:rPr>
        <w:t xml:space="preserve">attivazione di RET (geni di fusione) </w:t>
      </w:r>
      <w:r w:rsidRPr="003F6D44">
        <w:rPr>
          <w:rFonts w:ascii="Times New Roman" w:hAnsi="Times New Roman"/>
        </w:rPr>
        <w:t>sono gli inibitori specif</w:t>
      </w:r>
      <w:r w:rsidR="00A6111B" w:rsidRPr="003F6D44">
        <w:rPr>
          <w:rFonts w:ascii="Times New Roman" w:hAnsi="Times New Roman"/>
        </w:rPr>
        <w:t>ici dei riarrangiamenti di RET (</w:t>
      </w:r>
      <w:r w:rsidRPr="003F6D44">
        <w:rPr>
          <w:rFonts w:ascii="Times New Roman" w:hAnsi="Times New Roman"/>
        </w:rPr>
        <w:t>Selpercatinib</w:t>
      </w:r>
      <w:r w:rsidR="00A6111B" w:rsidRPr="003F6D44">
        <w:rPr>
          <w:rFonts w:ascii="Times New Roman" w:hAnsi="Times New Roman"/>
        </w:rPr>
        <w:t>).</w:t>
      </w:r>
      <w:r w:rsidRPr="003F6D44">
        <w:rPr>
          <w:rFonts w:ascii="Times New Roman" w:hAnsi="Times New Roman"/>
        </w:rPr>
        <w:t xml:space="preserve"> Questi ultimi farmaci a bersaglio molecolare specifico hanno un’attività nettamente superiore al Lenvatinib e Cabozantinib ed uno spettro di tossicità </w:t>
      </w:r>
      <w:r w:rsidR="00813740">
        <w:rPr>
          <w:rFonts w:ascii="Times New Roman" w:hAnsi="Times New Roman"/>
        </w:rPr>
        <w:t>significativamente inferiore ( TAB 3)</w:t>
      </w:r>
    </w:p>
    <w:p w:rsidR="000E7BFC" w:rsidRDefault="00F910EC" w:rsidP="003F6D44">
      <w:pPr>
        <w:spacing w:line="360" w:lineRule="auto"/>
        <w:jc w:val="both"/>
        <w:rPr>
          <w:rFonts w:ascii="Times New Roman" w:hAnsi="Times New Roman"/>
        </w:rPr>
      </w:pPr>
      <w:r>
        <w:rPr>
          <w:rFonts w:ascii="Times New Roman" w:hAnsi="Times New Roman"/>
        </w:rPr>
        <w:t>Tab 3</w:t>
      </w:r>
    </w:p>
    <w:p w:rsidR="00813740" w:rsidRPr="003F6D44" w:rsidRDefault="002562CF" w:rsidP="003F6D44">
      <w:pPr>
        <w:spacing w:line="360" w:lineRule="auto"/>
        <w:jc w:val="both"/>
        <w:rPr>
          <w:rFonts w:ascii="Times New Roman" w:hAnsi="Times New Roman"/>
        </w:rPr>
      </w:pPr>
      <w:r w:rsidRPr="002562CF">
        <w:rPr>
          <w:rFonts w:ascii="Times New Roman" w:hAnsi="Times New Roman"/>
          <w:noProof/>
          <w:lang w:eastAsia="it-IT"/>
        </w:rPr>
        <w:drawing>
          <wp:inline distT="0" distB="0" distL="0" distR="0">
            <wp:extent cx="6116320" cy="2562455"/>
            <wp:effectExtent l="0" t="0" r="0"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6320" cy="2562455"/>
                    </a:xfrm>
                    <a:prstGeom prst="rect">
                      <a:avLst/>
                    </a:prstGeom>
                    <a:noFill/>
                    <a:ln>
                      <a:noFill/>
                    </a:ln>
                  </pic:spPr>
                </pic:pic>
              </a:graphicData>
            </a:graphic>
          </wp:inline>
        </w:drawing>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 xml:space="preserve">Il 4-17% dei pazienti con carcinoma midollare tiroideo presenta metastasi a distanza già al momento della diagnosi, il 18-38% sviluppa patologia metastatica dopo avere ottenuto remissione chirurgica. I pazienti aventi diagnosi di malattia metastatica presentano una prognosi sfavorevole, con una percentuale di sopravviventi a 10 anni del 10%. Negli ultimi anni, due farmaci inibitori tirosino-chinasi con attività non selettiva sono stati approvati anche per il trattamento delle forme metastatiche di carcinoma midollare in prima linea, il vandetanib ed il cabozantinib. Entrambi agiscono inibendo la chinasi </w:t>
      </w:r>
      <w:r w:rsidRPr="003F6D44">
        <w:rPr>
          <w:rFonts w:ascii="Times New Roman" w:hAnsi="Times New Roman"/>
          <w:i/>
        </w:rPr>
        <w:t>RET</w:t>
      </w:r>
      <w:r w:rsidRPr="003F6D44">
        <w:rPr>
          <w:rFonts w:ascii="Times New Roman" w:hAnsi="Times New Roman"/>
        </w:rPr>
        <w:t xml:space="preserve"> ed i recettori del </w:t>
      </w:r>
      <w:r w:rsidRPr="003F6D44">
        <w:rPr>
          <w:rFonts w:ascii="Times New Roman" w:hAnsi="Times New Roman"/>
          <w:i/>
        </w:rPr>
        <w:t>VEGF</w:t>
      </w:r>
      <w:r w:rsidRPr="003F6D44">
        <w:rPr>
          <w:rFonts w:ascii="Times New Roman" w:hAnsi="Times New Roman"/>
        </w:rPr>
        <w:t xml:space="preserve">; il cabozantinib ha come ulteriore bersaglio la chinasi </w:t>
      </w:r>
      <w:r w:rsidRPr="003F6D44">
        <w:rPr>
          <w:rFonts w:ascii="Times New Roman" w:hAnsi="Times New Roman"/>
          <w:i/>
        </w:rPr>
        <w:t>c-MET</w:t>
      </w:r>
      <w:r w:rsidRPr="003F6D44">
        <w:rPr>
          <w:rFonts w:ascii="Times New Roman" w:hAnsi="Times New Roman"/>
        </w:rPr>
        <w:t xml:space="preserve">. Tali farmaci andrebbero utilizzati solamente in presenza di patologia in evidente progressione radiologica e/o clinica, in presenza di grosso volume tumorale (tumor burden) e soprattutto, in pazienti con progressione di malattia sintomatica. Anche nel caso dei MTC, in pazienti che presentano la </w:t>
      </w:r>
      <w:r w:rsidR="00B168A7" w:rsidRPr="003F6D44">
        <w:rPr>
          <w:rFonts w:ascii="Times New Roman" w:hAnsi="Times New Roman"/>
        </w:rPr>
        <w:t xml:space="preserve">mutazione </w:t>
      </w:r>
      <w:r w:rsidR="000B2C37" w:rsidRPr="003F6D44">
        <w:rPr>
          <w:rFonts w:ascii="Times New Roman" w:hAnsi="Times New Roman"/>
        </w:rPr>
        <w:t xml:space="preserve">di </w:t>
      </w:r>
      <w:r w:rsidR="00B168A7" w:rsidRPr="003F6D44">
        <w:rPr>
          <w:rFonts w:ascii="Times New Roman" w:hAnsi="Times New Roman"/>
        </w:rPr>
        <w:t xml:space="preserve">RET è indicato l’inibitore selettivo </w:t>
      </w:r>
      <w:r w:rsidR="004A2366" w:rsidRPr="003F6D44">
        <w:rPr>
          <w:rFonts w:ascii="Times New Roman" w:hAnsi="Times New Roman"/>
        </w:rPr>
        <w:t>di RET</w:t>
      </w:r>
      <w:r w:rsidR="00B168A7" w:rsidRPr="003F6D44">
        <w:rPr>
          <w:rFonts w:ascii="Times New Roman" w:hAnsi="Times New Roman"/>
        </w:rPr>
        <w:t xml:space="preserve"> </w:t>
      </w:r>
      <w:r w:rsidRPr="003F6D44">
        <w:rPr>
          <w:rFonts w:ascii="Times New Roman" w:hAnsi="Times New Roman"/>
        </w:rPr>
        <w:t>Selp</w:t>
      </w:r>
      <w:r w:rsidR="004A2366" w:rsidRPr="003F6D44">
        <w:rPr>
          <w:rFonts w:ascii="Times New Roman" w:hAnsi="Times New Roman"/>
        </w:rPr>
        <w:t>ercatinib</w:t>
      </w:r>
      <w:r w:rsidRPr="003F6D44">
        <w:rPr>
          <w:rFonts w:ascii="Times New Roman" w:hAnsi="Times New Roman"/>
        </w:rPr>
        <w:t>.</w:t>
      </w:r>
    </w:p>
    <w:p w:rsidR="00FF6BDE" w:rsidRDefault="00770A13" w:rsidP="003F6D44">
      <w:pPr>
        <w:tabs>
          <w:tab w:val="left" w:pos="1595"/>
        </w:tabs>
        <w:spacing w:line="360" w:lineRule="auto"/>
        <w:jc w:val="both"/>
        <w:rPr>
          <w:rFonts w:ascii="Times New Roman" w:hAnsi="Times New Roman"/>
        </w:rPr>
      </w:pPr>
      <w:r w:rsidRPr="003F6D44">
        <w:rPr>
          <w:rFonts w:ascii="Times New Roman" w:hAnsi="Times New Roman"/>
        </w:rPr>
        <w:t>La gestione di questi sottogruppi di pazienti sarà effettuata all’interno di Centri selezionati del GOM, con comprovata esperienza nella gestione di questo tipo di terapie e nella valutazione con Team multidisciplinare (TMD)</w:t>
      </w:r>
      <w:r w:rsidR="00FD125B">
        <w:rPr>
          <w:rFonts w:ascii="Times New Roman" w:hAnsi="Times New Roman"/>
        </w:rPr>
        <w:t xml:space="preserve"> ( Tab 4)</w:t>
      </w:r>
      <w:r w:rsidRPr="003F6D44">
        <w:rPr>
          <w:rFonts w:ascii="Times New Roman" w:hAnsi="Times New Roman"/>
        </w:rPr>
        <w:t>.</w:t>
      </w:r>
    </w:p>
    <w:p w:rsidR="00460F73" w:rsidRDefault="00460F73" w:rsidP="003F6D44">
      <w:pPr>
        <w:tabs>
          <w:tab w:val="left" w:pos="1595"/>
        </w:tabs>
        <w:spacing w:line="360" w:lineRule="auto"/>
        <w:jc w:val="both"/>
        <w:rPr>
          <w:rFonts w:ascii="Times New Roman" w:hAnsi="Times New Roman"/>
        </w:rPr>
      </w:pPr>
    </w:p>
    <w:p w:rsidR="00460F73" w:rsidRDefault="00460F73" w:rsidP="003F6D44">
      <w:pPr>
        <w:tabs>
          <w:tab w:val="left" w:pos="1595"/>
        </w:tabs>
        <w:spacing w:line="360" w:lineRule="auto"/>
        <w:jc w:val="both"/>
        <w:rPr>
          <w:rFonts w:ascii="Times New Roman" w:hAnsi="Times New Roman"/>
        </w:rPr>
      </w:pPr>
    </w:p>
    <w:p w:rsidR="00460F73" w:rsidRDefault="00460F73" w:rsidP="003F6D44">
      <w:pPr>
        <w:tabs>
          <w:tab w:val="left" w:pos="1595"/>
        </w:tabs>
        <w:spacing w:line="360" w:lineRule="auto"/>
        <w:jc w:val="both"/>
        <w:rPr>
          <w:rFonts w:ascii="Times New Roman" w:hAnsi="Times New Roman"/>
        </w:rPr>
      </w:pPr>
    </w:p>
    <w:p w:rsidR="00460F73" w:rsidRDefault="00460F73" w:rsidP="003F6D44">
      <w:pPr>
        <w:tabs>
          <w:tab w:val="left" w:pos="1595"/>
        </w:tabs>
        <w:spacing w:line="360" w:lineRule="auto"/>
        <w:jc w:val="both"/>
        <w:rPr>
          <w:rFonts w:ascii="Times New Roman" w:hAnsi="Times New Roman"/>
        </w:rPr>
      </w:pPr>
    </w:p>
    <w:p w:rsidR="00460F73" w:rsidRDefault="00460F73" w:rsidP="003F6D44">
      <w:pPr>
        <w:tabs>
          <w:tab w:val="left" w:pos="1595"/>
        </w:tabs>
        <w:spacing w:line="360" w:lineRule="auto"/>
        <w:jc w:val="both"/>
        <w:rPr>
          <w:rFonts w:ascii="Times New Roman" w:hAnsi="Times New Roman"/>
        </w:rPr>
      </w:pPr>
    </w:p>
    <w:p w:rsidR="00460F73" w:rsidRDefault="00460F73" w:rsidP="003F6D44">
      <w:pPr>
        <w:tabs>
          <w:tab w:val="left" w:pos="1595"/>
        </w:tabs>
        <w:spacing w:line="360" w:lineRule="auto"/>
        <w:jc w:val="both"/>
        <w:rPr>
          <w:rFonts w:ascii="Times New Roman" w:hAnsi="Times New Roman"/>
        </w:rPr>
      </w:pPr>
    </w:p>
    <w:p w:rsidR="0073285E" w:rsidRDefault="0073285E" w:rsidP="003F6D44">
      <w:pPr>
        <w:tabs>
          <w:tab w:val="left" w:pos="1595"/>
        </w:tabs>
        <w:spacing w:line="360" w:lineRule="auto"/>
        <w:jc w:val="both"/>
        <w:rPr>
          <w:rFonts w:ascii="Times New Roman" w:hAnsi="Times New Roman"/>
        </w:rPr>
      </w:pPr>
    </w:p>
    <w:p w:rsidR="00460F73" w:rsidRDefault="00460F73" w:rsidP="003F6D44">
      <w:pPr>
        <w:tabs>
          <w:tab w:val="left" w:pos="1595"/>
        </w:tabs>
        <w:spacing w:line="360" w:lineRule="auto"/>
        <w:jc w:val="both"/>
        <w:rPr>
          <w:rFonts w:ascii="Times New Roman" w:hAnsi="Times New Roman"/>
        </w:rPr>
      </w:pPr>
      <w:r>
        <w:rPr>
          <w:rFonts w:ascii="Times New Roman" w:hAnsi="Times New Roman"/>
        </w:rPr>
        <w:t>Tab 4</w:t>
      </w:r>
    </w:p>
    <w:p w:rsidR="00FD125B" w:rsidRDefault="002562CF" w:rsidP="003F6D44">
      <w:pPr>
        <w:tabs>
          <w:tab w:val="left" w:pos="1595"/>
        </w:tabs>
        <w:spacing w:line="360" w:lineRule="auto"/>
        <w:jc w:val="both"/>
        <w:rPr>
          <w:rFonts w:ascii="Times New Roman" w:hAnsi="Times New Roman"/>
        </w:rPr>
      </w:pPr>
      <w:r w:rsidRPr="002562CF">
        <w:rPr>
          <w:rFonts w:ascii="Times New Roman" w:hAnsi="Times New Roman"/>
          <w:noProof/>
          <w:lang w:eastAsia="it-IT"/>
        </w:rPr>
        <w:drawing>
          <wp:inline distT="0" distB="0" distL="0" distR="0">
            <wp:extent cx="6116320" cy="3379939"/>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6320" cy="3379939"/>
                    </a:xfrm>
                    <a:prstGeom prst="rect">
                      <a:avLst/>
                    </a:prstGeom>
                    <a:noFill/>
                    <a:ln>
                      <a:noFill/>
                    </a:ln>
                  </pic:spPr>
                </pic:pic>
              </a:graphicData>
            </a:graphic>
          </wp:inline>
        </w:drawing>
      </w:r>
    </w:p>
    <w:p w:rsidR="00FD125B" w:rsidRPr="003F6D44" w:rsidRDefault="00FD125B" w:rsidP="003F6D44">
      <w:pPr>
        <w:tabs>
          <w:tab w:val="left" w:pos="1595"/>
        </w:tabs>
        <w:spacing w:line="360" w:lineRule="auto"/>
        <w:jc w:val="both"/>
        <w:rPr>
          <w:rFonts w:ascii="Times New Roman" w:hAnsi="Times New Roman"/>
        </w:rPr>
      </w:pPr>
    </w:p>
    <w:p w:rsidR="00D1490F" w:rsidRPr="003F6D44" w:rsidRDefault="00770A13" w:rsidP="003F6D44">
      <w:pPr>
        <w:tabs>
          <w:tab w:val="left" w:pos="1595"/>
        </w:tabs>
        <w:spacing w:line="360" w:lineRule="auto"/>
        <w:jc w:val="both"/>
        <w:rPr>
          <w:rFonts w:ascii="Times New Roman" w:hAnsi="Times New Roman"/>
        </w:rPr>
      </w:pPr>
      <w:r w:rsidRPr="003F6D44">
        <w:rPr>
          <w:rFonts w:ascii="Times New Roman" w:hAnsi="Times New Roman"/>
        </w:rPr>
        <w:t xml:space="preserve">Un cenno a parte merita il carcinoma anaplastico della tiroide, il quale sebbene molto raro (1 caso su milione di abitanti) rappresenta anche la forma più grave. Il carcinoma anaplastico della tiroide insorge generalmente </w:t>
      </w:r>
      <w:r w:rsidR="004A2366" w:rsidRPr="003F6D44">
        <w:rPr>
          <w:rFonts w:ascii="Times New Roman" w:hAnsi="Times New Roman"/>
        </w:rPr>
        <w:t>nell’anziano, e</w:t>
      </w:r>
      <w:r w:rsidRPr="003F6D44">
        <w:rPr>
          <w:rFonts w:ascii="Times New Roman" w:hAnsi="Times New Roman"/>
        </w:rPr>
        <w:t xml:space="preserve"> si manifesta con sintomi acuti e rapidamente evolutivi dovuti all’infiltrazione/pressione della massa tumorale sulle strutture vascolari e/o anatomiche del collo. Sintomi d’esordio più frequenti sono la compressione tracheale con dispnea rapidamente ingravescente, sanguinamento e massa palpabile rapidamente evolutiva. Non di rado, alla diagnosi, il carcinoma anaplastico si presenta metastatico. Il trattamento di tali forme di tumore tiroideo è multidisciplinare, dal momento che dati estrapolati da letteratura scientifica hanno evidenziato un incremento della sopravvivenza in pazienti trattati con tutte e tre le metodiche terapeutiche disponibili, ossia la chirurgia seguita da radioterapia a fasci esterni a scopo adiuvante associata indi a chemioterapia</w:t>
      </w:r>
      <w:r w:rsidR="00F361A2">
        <w:rPr>
          <w:rFonts w:ascii="Times New Roman" w:hAnsi="Times New Roman"/>
        </w:rPr>
        <w:t xml:space="preserve"> (Tab </w:t>
      </w:r>
      <w:r w:rsidR="00B11E39">
        <w:rPr>
          <w:rFonts w:ascii="Times New Roman" w:hAnsi="Times New Roman"/>
        </w:rPr>
        <w:t>3</w:t>
      </w:r>
      <w:r w:rsidR="00F361A2">
        <w:rPr>
          <w:rFonts w:ascii="Times New Roman" w:hAnsi="Times New Roman"/>
        </w:rPr>
        <w:t>)</w:t>
      </w:r>
      <w:r w:rsidRPr="003F6D44">
        <w:rPr>
          <w:rFonts w:ascii="Times New Roman" w:hAnsi="Times New Roman"/>
        </w:rPr>
        <w:t>.</w:t>
      </w:r>
      <w:r w:rsidR="00D1490F" w:rsidRPr="003F6D44">
        <w:rPr>
          <w:rFonts w:ascii="Times New Roman" w:hAnsi="Times New Roman"/>
        </w:rPr>
        <w:t xml:space="preserve"> Storicamente gli unici regimi in grado di ottenere una seppur minima citoriduzione sono stati quelli contenenti antracicline (cisplatino-doxorubicina) e taxani (carboplatino- taxolo). Dal primo marzo 2023, l’</w:t>
      </w:r>
      <w:r w:rsidR="00D76AF8">
        <w:rPr>
          <w:rFonts w:ascii="Times New Roman" w:hAnsi="Times New Roman"/>
        </w:rPr>
        <w:t>A</w:t>
      </w:r>
      <w:r w:rsidR="00D1490F" w:rsidRPr="003F6D44">
        <w:rPr>
          <w:rFonts w:ascii="Times New Roman" w:hAnsi="Times New Roman"/>
        </w:rPr>
        <w:t xml:space="preserve">ifa ha però approvato l’utilizzo di Dabrafenib-Trametenib nei pazienti con carcinoma anaplastico in presenza di mutazione BRaf V600E o V600k. </w:t>
      </w:r>
      <w:r w:rsidR="00584DCD" w:rsidRPr="003F6D44">
        <w:rPr>
          <w:rFonts w:ascii="Times New Roman" w:hAnsi="Times New Roman"/>
        </w:rPr>
        <w:t xml:space="preserve"> </w:t>
      </w:r>
      <w:r w:rsidR="00D1490F" w:rsidRPr="003F6D44">
        <w:rPr>
          <w:rFonts w:ascii="Times New Roman" w:hAnsi="Times New Roman"/>
        </w:rPr>
        <w:t>In caso di</w:t>
      </w:r>
      <w:r w:rsidR="00584DCD" w:rsidRPr="003F6D44">
        <w:rPr>
          <w:rFonts w:ascii="Times New Roman" w:hAnsi="Times New Roman"/>
        </w:rPr>
        <w:t xml:space="preserve"> assenza </w:t>
      </w:r>
      <w:r w:rsidR="004A2366" w:rsidRPr="003F6D44">
        <w:rPr>
          <w:rFonts w:ascii="Times New Roman" w:hAnsi="Times New Roman"/>
        </w:rPr>
        <w:t>di mutazione</w:t>
      </w:r>
      <w:r w:rsidR="00D1490F" w:rsidRPr="003F6D44">
        <w:rPr>
          <w:rFonts w:ascii="Times New Roman" w:hAnsi="Times New Roman"/>
        </w:rPr>
        <w:t xml:space="preserve">, le linee guida internazionali consigliano comunque di ricercare la presenza di eventuali mutazioni/fusioni di RET e riarrangiamenti di ALK per eventuale uso </w:t>
      </w:r>
      <w:r w:rsidR="001D6B2C" w:rsidRPr="003F6D44">
        <w:rPr>
          <w:rFonts w:ascii="Times New Roman" w:hAnsi="Times New Roman"/>
        </w:rPr>
        <w:t>(</w:t>
      </w:r>
      <w:r w:rsidR="0022198A" w:rsidRPr="003F6D44">
        <w:rPr>
          <w:rFonts w:ascii="Times New Roman" w:hAnsi="Times New Roman"/>
        </w:rPr>
        <w:t xml:space="preserve">sec. </w:t>
      </w:r>
      <w:r w:rsidR="001D6B2C" w:rsidRPr="003F6D44">
        <w:rPr>
          <w:rFonts w:ascii="Times New Roman" w:hAnsi="Times New Roman"/>
        </w:rPr>
        <w:t xml:space="preserve">L. </w:t>
      </w:r>
      <w:r w:rsidR="00D1490F" w:rsidRPr="003F6D44">
        <w:rPr>
          <w:rFonts w:ascii="Times New Roman" w:hAnsi="Times New Roman"/>
        </w:rPr>
        <w:t xml:space="preserve"> 648</w:t>
      </w:r>
      <w:r w:rsidR="001D6B2C" w:rsidRPr="003F6D44">
        <w:rPr>
          <w:rFonts w:ascii="Times New Roman" w:hAnsi="Times New Roman"/>
        </w:rPr>
        <w:t xml:space="preserve">/96) </w:t>
      </w:r>
      <w:r w:rsidR="00D1490F" w:rsidRPr="003F6D44">
        <w:rPr>
          <w:rFonts w:ascii="Times New Roman" w:hAnsi="Times New Roman"/>
        </w:rPr>
        <w:t>di altri inibitori selettivi.</w:t>
      </w:r>
      <w:r w:rsidR="00813740">
        <w:rPr>
          <w:rFonts w:ascii="Times New Roman" w:hAnsi="Times New Roman"/>
        </w:rPr>
        <w:t xml:space="preserve">( Tab </w:t>
      </w:r>
      <w:r w:rsidR="00FD125B">
        <w:rPr>
          <w:rFonts w:ascii="Times New Roman" w:hAnsi="Times New Roman"/>
        </w:rPr>
        <w:t>5</w:t>
      </w:r>
      <w:r w:rsidR="00813740">
        <w:rPr>
          <w:rFonts w:ascii="Times New Roman" w:hAnsi="Times New Roman"/>
        </w:rPr>
        <w:t>)</w:t>
      </w:r>
    </w:p>
    <w:p w:rsidR="00FF6BDE" w:rsidRDefault="00D1490F" w:rsidP="003F6D44">
      <w:pPr>
        <w:tabs>
          <w:tab w:val="left" w:pos="1595"/>
        </w:tabs>
        <w:spacing w:line="360" w:lineRule="auto"/>
        <w:jc w:val="both"/>
        <w:rPr>
          <w:rFonts w:ascii="Times New Roman" w:hAnsi="Times New Roman"/>
        </w:rPr>
      </w:pPr>
      <w:r w:rsidRPr="003F6D44">
        <w:rPr>
          <w:rFonts w:ascii="Times New Roman" w:hAnsi="Times New Roman"/>
        </w:rPr>
        <w:t>Al</w:t>
      </w:r>
      <w:r w:rsidR="003E4B2C" w:rsidRPr="003F6D44">
        <w:rPr>
          <w:rFonts w:ascii="Times New Roman" w:hAnsi="Times New Roman"/>
        </w:rPr>
        <w:t>lo stesso modo è incoraggiata</w:t>
      </w:r>
      <w:r w:rsidRPr="003F6D44">
        <w:rPr>
          <w:rFonts w:ascii="Times New Roman" w:hAnsi="Times New Roman"/>
        </w:rPr>
        <w:t xml:space="preserve"> dalla letteratura mondiale la valutazione di PDL-1 per </w:t>
      </w:r>
      <w:r w:rsidR="004A2366" w:rsidRPr="003F6D44">
        <w:rPr>
          <w:rFonts w:ascii="Times New Roman" w:hAnsi="Times New Roman"/>
        </w:rPr>
        <w:t>eventualmente eleggere</w:t>
      </w:r>
      <w:r w:rsidRPr="003F6D44">
        <w:rPr>
          <w:rFonts w:ascii="Times New Roman" w:hAnsi="Times New Roman"/>
        </w:rPr>
        <w:t xml:space="preserve"> </w:t>
      </w:r>
      <w:r w:rsidR="0022198A" w:rsidRPr="003F6D44">
        <w:rPr>
          <w:rFonts w:ascii="Times New Roman" w:hAnsi="Times New Roman"/>
        </w:rPr>
        <w:t xml:space="preserve">sempre </w:t>
      </w:r>
      <w:r w:rsidRPr="003F6D44">
        <w:rPr>
          <w:rFonts w:ascii="Times New Roman" w:hAnsi="Times New Roman"/>
        </w:rPr>
        <w:t>in 648 il paziente a terapia combinata con lenvatinib + pembrolizumab</w:t>
      </w:r>
      <w:r w:rsidR="0022198A" w:rsidRPr="003F6D44">
        <w:rPr>
          <w:rFonts w:ascii="Times New Roman" w:hAnsi="Times New Roman"/>
        </w:rPr>
        <w:t>.</w:t>
      </w:r>
      <w:r w:rsidR="00770A13" w:rsidRPr="003F6D44">
        <w:rPr>
          <w:rFonts w:ascii="Times New Roman" w:hAnsi="Times New Roman"/>
        </w:rPr>
        <w:t xml:space="preserve"> </w:t>
      </w:r>
    </w:p>
    <w:p w:rsidR="007213EE" w:rsidRDefault="00A97900" w:rsidP="003F6D44">
      <w:pPr>
        <w:tabs>
          <w:tab w:val="left" w:pos="1595"/>
        </w:tabs>
        <w:spacing w:line="360" w:lineRule="auto"/>
        <w:jc w:val="both"/>
        <w:rPr>
          <w:rFonts w:ascii="Times New Roman" w:hAnsi="Times New Roman"/>
          <w:lang w:eastAsia="it-IT"/>
        </w:rPr>
      </w:pPr>
      <w:r>
        <w:rPr>
          <w:rFonts w:ascii="Times New Roman" w:hAnsi="Times New Roman"/>
          <w:lang w:eastAsia="it-IT"/>
        </w:rPr>
        <w:t xml:space="preserve">Tab </w:t>
      </w:r>
      <w:r w:rsidR="00FD125B">
        <w:rPr>
          <w:rFonts w:ascii="Times New Roman" w:hAnsi="Times New Roman"/>
          <w:lang w:eastAsia="it-IT"/>
        </w:rPr>
        <w:t>5</w:t>
      </w:r>
    </w:p>
    <w:p w:rsidR="00A97900" w:rsidRPr="003F6D44" w:rsidRDefault="00A97900" w:rsidP="003F6D44">
      <w:pPr>
        <w:tabs>
          <w:tab w:val="left" w:pos="1595"/>
        </w:tabs>
        <w:spacing w:line="360" w:lineRule="auto"/>
        <w:jc w:val="both"/>
        <w:rPr>
          <w:rFonts w:ascii="Times New Roman" w:hAnsi="Times New Roman"/>
          <w:lang w:eastAsia="it-IT"/>
        </w:rPr>
      </w:pPr>
      <w:r w:rsidRPr="00F361A2">
        <w:rPr>
          <w:noProof/>
          <w:lang w:eastAsia="it-IT"/>
        </w:rPr>
        <w:drawing>
          <wp:inline distT="0" distB="0" distL="0" distR="0" wp14:anchorId="0673165A" wp14:editId="082D21E3">
            <wp:extent cx="6096851" cy="3429479"/>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96851" cy="3429479"/>
                    </a:xfrm>
                    <a:prstGeom prst="rect">
                      <a:avLst/>
                    </a:prstGeom>
                  </pic:spPr>
                </pic:pic>
              </a:graphicData>
            </a:graphic>
          </wp:inline>
        </w:drawing>
      </w:r>
    </w:p>
    <w:p w:rsidR="00FF6BDE" w:rsidRPr="003F6D44" w:rsidRDefault="00FF6BDE" w:rsidP="003F6D44">
      <w:pPr>
        <w:tabs>
          <w:tab w:val="left" w:pos="1595"/>
        </w:tabs>
        <w:spacing w:line="360" w:lineRule="auto"/>
        <w:jc w:val="both"/>
        <w:rPr>
          <w:rFonts w:ascii="Times New Roman" w:hAnsi="Times New Roman"/>
          <w:b/>
          <w:bCs/>
        </w:rPr>
      </w:pPr>
    </w:p>
    <w:p w:rsidR="00FF6BDE" w:rsidRPr="003F6D44" w:rsidRDefault="00770A13" w:rsidP="003F6D44">
      <w:pPr>
        <w:pStyle w:val="Pa1"/>
        <w:spacing w:after="120" w:line="360" w:lineRule="auto"/>
        <w:jc w:val="both"/>
        <w:rPr>
          <w:rFonts w:ascii="Times New Roman" w:hAnsi="Times New Roman"/>
        </w:rPr>
      </w:pPr>
      <w:r w:rsidRPr="003F6D44">
        <w:rPr>
          <w:rFonts w:ascii="Times New Roman" w:hAnsi="Times New Roman"/>
          <w:b/>
          <w:bCs/>
        </w:rPr>
        <w:t xml:space="preserve">Valutazione multidisciplinare (VM) </w:t>
      </w:r>
    </w:p>
    <w:p w:rsidR="00FF6BDE" w:rsidRPr="003F6D44" w:rsidRDefault="00770A13" w:rsidP="003F6D44">
      <w:pPr>
        <w:pStyle w:val="Pa1"/>
        <w:spacing w:after="120" w:line="360" w:lineRule="auto"/>
        <w:jc w:val="both"/>
        <w:rPr>
          <w:rFonts w:ascii="Times New Roman" w:hAnsi="Times New Roman"/>
        </w:rPr>
      </w:pPr>
      <w:r w:rsidRPr="003F6D44">
        <w:rPr>
          <w:rFonts w:ascii="Times New Roman" w:hAnsi="Times New Roman"/>
        </w:rPr>
        <w:t>Il GOM deve essere composto come minimo dalle seguenti professionalità: chirurgo (con esperienza nel trattamento chirurgico del carcinoma tiroideo), endocrinologo, medico nucleare, radiologo, patologo, oncologo medico, radioterapista e case manager. La VM è indicata nel caso di CDT nei casi avanzati, complessi e/o recidivi e/o metastatici.</w:t>
      </w:r>
    </w:p>
    <w:p w:rsidR="00FF6BDE" w:rsidRPr="003F6D44" w:rsidRDefault="00770A13" w:rsidP="003F6D44">
      <w:pPr>
        <w:pStyle w:val="Pa1"/>
        <w:spacing w:after="120" w:line="360" w:lineRule="auto"/>
        <w:jc w:val="both"/>
        <w:rPr>
          <w:rFonts w:ascii="Times New Roman" w:hAnsi="Times New Roman"/>
        </w:rPr>
      </w:pPr>
      <w:r w:rsidRPr="003F6D44">
        <w:rPr>
          <w:rFonts w:ascii="Times New Roman" w:hAnsi="Times New Roman"/>
        </w:rPr>
        <w:t>Il case manager garantisce il rispetto delle tempistiche pianificate/previste nel PDTA in tutte le varie fasi della malattia. Il meeting è il momento in cui avviene la discussione multidisciplinare dei casi clinici riferiti dai diversi centri della ROC, con l’intento di definire la diagnosi e lo stadio della malattia, cui segue la formulazione della strategia terapeutica con indicazioni precise sull’approccio chirurgico, radioterapico, sulle terapie oncologiche sistemiche con valutazione della relativa risposta, sugli eventuali approcci riabilitativi, cure simultanee, di supporto e di follow-up, in rapporto a linee guida condivise. Il team fornisce inoltre secondi pareri su richiesta dei medici curanti.</w:t>
      </w:r>
    </w:p>
    <w:p w:rsidR="00FF6BDE" w:rsidRPr="003F6D44" w:rsidRDefault="00770A13" w:rsidP="003F6D44">
      <w:pPr>
        <w:pStyle w:val="Pa1"/>
        <w:spacing w:after="120" w:line="360" w:lineRule="auto"/>
        <w:jc w:val="both"/>
        <w:rPr>
          <w:rFonts w:ascii="Times New Roman" w:hAnsi="Times New Roman"/>
        </w:rPr>
      </w:pPr>
      <w:r w:rsidRPr="003F6D44">
        <w:rPr>
          <w:rFonts w:ascii="Times New Roman" w:hAnsi="Times New Roman"/>
        </w:rPr>
        <w:t>Gli incontri multidisciplinari, la cui frequenza deve essere almeno mensile, prevedono l’utilizzo di un formato attraverso il quale condividere per via telematica le informazioni essenziali sul paziente, prima della riunione, e le successive decisioni e costituirà il data base di raccolta dati di tutti i pazienti che verranno via via discussi in riunione multidisciplinare. Lo stesso database potrà costituire l’elemento di verifica del numero di pazienti proposti in discussione, delle unità operative di afferenza dei pazienti, delle caratteristiche dei pazienti, delle decisioni prese e dell’eventuale scostamento dalle decisioni stesse nel percorso terapeutico del paziente. Tali informazioni saranno trascritte come esito della discussione multidisciplinare in cartella clinica da parte del medico referente del paziente o del case manager, e comunicate al paziente e al medico curante.</w:t>
      </w:r>
    </w:p>
    <w:p w:rsidR="00FF6BDE" w:rsidRPr="003F6D44" w:rsidRDefault="00FF6BDE" w:rsidP="003F6D44">
      <w:pPr>
        <w:spacing w:line="360" w:lineRule="auto"/>
        <w:jc w:val="both"/>
        <w:rPr>
          <w:rFonts w:ascii="Times New Roman" w:hAnsi="Times New Roman"/>
          <w:lang w:eastAsia="it-IT"/>
        </w:rPr>
      </w:pPr>
    </w:p>
    <w:p w:rsidR="00FF6BDE" w:rsidRPr="003F6D44" w:rsidRDefault="00770A13" w:rsidP="003F6D44">
      <w:pPr>
        <w:spacing w:line="360" w:lineRule="auto"/>
        <w:jc w:val="both"/>
        <w:rPr>
          <w:rFonts w:ascii="Times New Roman" w:hAnsi="Times New Roman"/>
          <w:b/>
          <w:lang w:eastAsia="it-IT"/>
        </w:rPr>
      </w:pPr>
      <w:r w:rsidRPr="003F6D44">
        <w:rPr>
          <w:rFonts w:ascii="Times New Roman" w:hAnsi="Times New Roman"/>
          <w:b/>
          <w:lang w:eastAsia="it-IT"/>
        </w:rPr>
        <w:t>RUOLO DELLA RADIOTERAPIA</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Il ruolo della Radioterapia è limitato ai pazienti ad alto rischio, e dipende dallo stadio clinico di malattia e dal tipo istologico, anche se il suo reale utilizzo rappresenta una problematica tutta da discutere.</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Le principali linee Guida Internazionali concordano sul fatto che la Radioterapia adiuvante dovrebbe essere considerata nei seguenti casi:</w:t>
      </w:r>
    </w:p>
    <w:p w:rsidR="00FF6BDE" w:rsidRPr="003F6D44" w:rsidRDefault="00770A13" w:rsidP="003F6D44">
      <w:pPr>
        <w:pStyle w:val="Paragrafoelenco"/>
        <w:numPr>
          <w:ilvl w:val="0"/>
          <w:numId w:val="3"/>
        </w:numPr>
        <w:spacing w:after="0" w:line="360" w:lineRule="auto"/>
        <w:jc w:val="both"/>
        <w:rPr>
          <w:rFonts w:ascii="Times New Roman" w:hAnsi="Times New Roman"/>
          <w:sz w:val="24"/>
          <w:szCs w:val="24"/>
        </w:rPr>
      </w:pPr>
      <w:r w:rsidRPr="003F6D44">
        <w:rPr>
          <w:rFonts w:ascii="Times New Roman" w:hAnsi="Times New Roman"/>
          <w:sz w:val="24"/>
          <w:szCs w:val="24"/>
        </w:rPr>
        <w:t>Malattia localmente avanzata o con estensione extra tiroidea non sensibile alla terapia Radio metabolica</w:t>
      </w:r>
    </w:p>
    <w:p w:rsidR="00FF6BDE" w:rsidRPr="003F6D44" w:rsidRDefault="00770A13" w:rsidP="003F6D44">
      <w:pPr>
        <w:pStyle w:val="Paragrafoelenco"/>
        <w:numPr>
          <w:ilvl w:val="0"/>
          <w:numId w:val="3"/>
        </w:numPr>
        <w:spacing w:after="0" w:line="360" w:lineRule="auto"/>
        <w:jc w:val="both"/>
        <w:rPr>
          <w:rFonts w:ascii="Times New Roman" w:hAnsi="Times New Roman"/>
          <w:sz w:val="24"/>
          <w:szCs w:val="24"/>
        </w:rPr>
      </w:pPr>
      <w:r w:rsidRPr="003F6D44">
        <w:rPr>
          <w:rFonts w:ascii="Times New Roman" w:hAnsi="Times New Roman"/>
          <w:sz w:val="24"/>
          <w:szCs w:val="24"/>
        </w:rPr>
        <w:t>Malattia residua</w:t>
      </w:r>
    </w:p>
    <w:p w:rsidR="00FF6BDE" w:rsidRPr="003F6D44" w:rsidRDefault="00770A13" w:rsidP="003F6D44">
      <w:pPr>
        <w:pStyle w:val="Paragrafoelenco"/>
        <w:numPr>
          <w:ilvl w:val="0"/>
          <w:numId w:val="3"/>
        </w:numPr>
        <w:spacing w:after="0" w:line="360" w:lineRule="auto"/>
        <w:jc w:val="both"/>
        <w:rPr>
          <w:rFonts w:ascii="Times New Roman" w:hAnsi="Times New Roman"/>
          <w:sz w:val="24"/>
          <w:szCs w:val="24"/>
        </w:rPr>
      </w:pPr>
      <w:r w:rsidRPr="003F6D44">
        <w:rPr>
          <w:rFonts w:ascii="Times New Roman" w:hAnsi="Times New Roman"/>
          <w:sz w:val="24"/>
          <w:szCs w:val="24"/>
        </w:rPr>
        <w:t>Tumori recidivi non sensibili alla terapia Radio metabolica e dove un ulteriore intervento chirurgico sarebbe inefficace o troppo demolitivo.</w:t>
      </w:r>
    </w:p>
    <w:p w:rsidR="00FF6BDE" w:rsidRPr="003F6D44" w:rsidRDefault="00770A13" w:rsidP="003F6D44">
      <w:pPr>
        <w:pStyle w:val="Paragrafoelenco"/>
        <w:numPr>
          <w:ilvl w:val="0"/>
          <w:numId w:val="3"/>
        </w:numPr>
        <w:spacing w:after="0" w:line="360" w:lineRule="auto"/>
        <w:jc w:val="both"/>
        <w:rPr>
          <w:rFonts w:ascii="Times New Roman" w:hAnsi="Times New Roman"/>
          <w:sz w:val="24"/>
          <w:szCs w:val="24"/>
        </w:rPr>
      </w:pPr>
      <w:r w:rsidRPr="003F6D44">
        <w:rPr>
          <w:rFonts w:ascii="Times New Roman" w:hAnsi="Times New Roman"/>
          <w:sz w:val="24"/>
          <w:szCs w:val="24"/>
        </w:rPr>
        <w:t>Ruolo palliativo (sanguinamenti locoregionali, metastasi a distanza).</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L’uso della radioterapia adiuvante nei Tumori differenziati e midollari della Tiroide ha mostrato, in differenti studi clinici, un vantaggio nella PFS (Sopravvivenza Libera da progressione) a 4 anni in pazienti sottoposti a chirurgia non radicale o in stadio clinico avanzato rispetto ai pazienti non trattati con RT adiuvante.</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Nei pazienti affetti da Ca anaplastico della tiroide inoltre vi è un notevole incremento della PFS con una tendenza alla sopravvivenza mediana superiore in pazienti sottoposti a EBRT a dosi superiori ai 30Gy.</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Il trattamento radioterapico dovrebbe essere avviato nel più breve tempo possibile, rispettando almeno le due tre settimane successive all’intervento chirurgico.</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 xml:space="preserve">I volumi da irradiare sono i seguenti: </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 xml:space="preserve">CTV 1 aree ad </w:t>
      </w:r>
      <w:r w:rsidRPr="003F6D44">
        <w:rPr>
          <w:rFonts w:ascii="Times New Roman" w:hAnsi="Times New Roman"/>
          <w:u w:val="single"/>
        </w:rPr>
        <w:t>alto rischio</w:t>
      </w:r>
      <w:r w:rsidRPr="003F6D44">
        <w:rPr>
          <w:rFonts w:ascii="Times New Roman" w:hAnsi="Times New Roman"/>
        </w:rPr>
        <w:t xml:space="preserve"> quindi letto operatorio, compartimento linfonodale coinvolto con coinvolgimento extracapsulare.</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 xml:space="preserve">CTV 2 aree a </w:t>
      </w:r>
      <w:r w:rsidRPr="003F6D44">
        <w:rPr>
          <w:rFonts w:ascii="Times New Roman" w:hAnsi="Times New Roman"/>
          <w:u w:val="single"/>
        </w:rPr>
        <w:t>rischio intermedio</w:t>
      </w:r>
      <w:r w:rsidRPr="003F6D44">
        <w:rPr>
          <w:rFonts w:ascii="Times New Roman" w:hAnsi="Times New Roman"/>
        </w:rPr>
        <w:t>: letto chirurgico e aree linfonodali senza extracapsularità.</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 xml:space="preserve">CTV 3 aree a </w:t>
      </w:r>
      <w:r w:rsidRPr="003F6D44">
        <w:rPr>
          <w:rFonts w:ascii="Times New Roman" w:hAnsi="Times New Roman"/>
          <w:u w:val="single"/>
        </w:rPr>
        <w:t>basso rischio</w:t>
      </w:r>
      <w:r w:rsidRPr="003F6D44">
        <w:rPr>
          <w:rFonts w:ascii="Times New Roman" w:hAnsi="Times New Roman"/>
        </w:rPr>
        <w:t>: livelli linfonodali II-VI omolaterali alla lesione o bilaterali se estensione della malattia a tutta la ghiandola.</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I seguenti volumi vengono espansi di 3-5 mm in modo da ricavare i relativi PTV.</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I piani di cura della moderna RT prevedono utilizzo di Tecniche IMRT/VMAT in modo da conformare al meglio i fasci di trattamento sulle aree bersaglio, riducendo al massimo la dose agli organi a rischio.</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In pazienti con buon P.S. si possono effettuare trattamenti con frazionamento convenzionale che prevedono dosi di 2 Gy pro die per 5 frazioni settimanali, o metodiche di iperfrazionamento accelerato con dosi di 1.5-1.6 Gy 2 volte al die 5 volte alla settimana sino al raggiungimento di 50-60 Gy totali.</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Nei pazienti che presentano una istologia aggressiva come le forme Anaplastiche, le dosi giornaliere possono essere più elevate a seconda della finalità con la quale si è data indicazione alla Radioterapia, e se non è stato effettuato l’intervento chirurgico.</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In questo caso le dosi possono variare dai 2 sino ai 4 Gy giornalieri, con dosi totali che possono variare dai 60 Gy con frazionamento convenzionale ai 30 Gy sino ai 40 Gy per trattamenti ipofrazionati.</w:t>
      </w:r>
    </w:p>
    <w:p w:rsidR="00FF6BDE" w:rsidRPr="003F6D44" w:rsidRDefault="00FF6BDE" w:rsidP="003F6D44">
      <w:pPr>
        <w:spacing w:line="360" w:lineRule="auto"/>
        <w:jc w:val="both"/>
        <w:rPr>
          <w:rFonts w:ascii="Times New Roman" w:hAnsi="Times New Roman"/>
        </w:rPr>
      </w:pPr>
    </w:p>
    <w:p w:rsidR="00FF6BDE" w:rsidRPr="003F6D44" w:rsidRDefault="00770A13" w:rsidP="003F6D44">
      <w:pPr>
        <w:tabs>
          <w:tab w:val="left" w:pos="1055"/>
        </w:tabs>
        <w:spacing w:line="360" w:lineRule="auto"/>
        <w:jc w:val="both"/>
        <w:rPr>
          <w:rFonts w:ascii="Times New Roman" w:hAnsi="Times New Roman"/>
          <w:b/>
        </w:rPr>
      </w:pPr>
      <w:r w:rsidRPr="003F6D44">
        <w:rPr>
          <w:rFonts w:ascii="Times New Roman" w:hAnsi="Times New Roman"/>
          <w:b/>
          <w:caps/>
        </w:rPr>
        <w:t xml:space="preserve">Percorso di FOLLOW-UP post-chirurgico </w:t>
      </w:r>
      <w:r w:rsidRPr="003F6D44">
        <w:rPr>
          <w:rFonts w:ascii="Times New Roman" w:hAnsi="Times New Roman"/>
          <w:b/>
        </w:rPr>
        <w:t>STRATIFICAZIONE PROGNOSTICA INIZIALE</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Dopo l’intervento chirurgico, è necessario effettuare una stratificazione prognostica sulla base dei dati clinico-patologici disponibili in questa fase. Tale valutazione prognostica è essenziale soprattutto per valutare l’indicazione alla terapia radio-metabolica</w:t>
      </w:r>
      <w:r w:rsidR="004C385B" w:rsidRPr="003F6D44">
        <w:rPr>
          <w:rFonts w:ascii="Times New Roman" w:hAnsi="Times New Roman"/>
        </w:rPr>
        <w:t>, nel caso di carcinoma differenziato della tiroide</w:t>
      </w:r>
      <w:r w:rsidRPr="003F6D44">
        <w:rPr>
          <w:rFonts w:ascii="Times New Roman" w:hAnsi="Times New Roman"/>
        </w:rPr>
        <w:t>. La stadiazione AJCC/TNM (AJCC VIII edizione) è stata costruita per predire la sopravvivenza. La classificazione ATA è invece stata costruita per valutare il rischio di recidiva/persistenza di malattia. Data la bassa mortalità correlata a questo tipo di tumore, la classificazione ATA è universalmente considerata il gold-standard per la classificazione prognostica iniziale. Tale sistema, come riportato nella tabella successiva, individua pazienti a rischio basso/intermedio/alto di ricorrenza/persistenza di malattia. Le variabili prese in considerazione sono l’estensione di patologia (confinata alla tiroide, estensione loco-regionale o metastasi a distanza), le caratteristiche istologiche (istotipo tumorale e grado di invasione vascolare), la presenza di malattia morfologica residua</w:t>
      </w:r>
      <w:r w:rsidR="005007F3" w:rsidRPr="003F6D44">
        <w:rPr>
          <w:rStyle w:val="Rimandonotaapidipagina"/>
          <w:rFonts w:ascii="Times New Roman" w:hAnsi="Times New Roman"/>
        </w:rPr>
        <w:footnoteReference w:id="7"/>
      </w:r>
      <w:r w:rsidR="00382EF2" w:rsidRPr="003F6D44">
        <w:rPr>
          <w:rFonts w:ascii="Times New Roman" w:hAnsi="Times New Roman"/>
        </w:rPr>
        <w:t xml:space="preserve"> </w:t>
      </w:r>
      <w:r w:rsidR="001972E6" w:rsidRPr="003F6D44">
        <w:rPr>
          <w:rFonts w:ascii="Times New Roman" w:hAnsi="Times New Roman"/>
        </w:rPr>
        <w:t>.</w:t>
      </w:r>
    </w:p>
    <w:p w:rsidR="00FF6BDE" w:rsidRPr="003F6D44" w:rsidRDefault="00FF6BDE" w:rsidP="003F6D44">
      <w:pPr>
        <w:spacing w:line="360" w:lineRule="auto"/>
        <w:jc w:val="both"/>
        <w:rPr>
          <w:rFonts w:ascii="Times New Roman" w:hAnsi="Times New Roman"/>
        </w:rPr>
      </w:pPr>
    </w:p>
    <w:p w:rsidR="00FF6BDE" w:rsidRPr="003F6D44" w:rsidRDefault="00347BD0" w:rsidP="003F6D44">
      <w:pPr>
        <w:spacing w:line="360" w:lineRule="auto"/>
        <w:jc w:val="both"/>
        <w:rPr>
          <w:rFonts w:ascii="Times New Roman" w:hAnsi="Times New Roman"/>
        </w:rPr>
      </w:pPr>
      <w:r w:rsidRPr="003F6D44">
        <w:rPr>
          <w:rFonts w:ascii="Times New Roman" w:hAnsi="Times New Roman"/>
          <w:noProof/>
          <w:lang w:eastAsia="it-IT"/>
        </w:rPr>
        <w:drawing>
          <wp:inline distT="0" distB="0" distL="0" distR="0" wp14:anchorId="5B8F172B" wp14:editId="0A62D6D7">
            <wp:extent cx="6116320" cy="4164965"/>
            <wp:effectExtent l="0" t="0" r="0"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6320" cy="4164965"/>
                    </a:xfrm>
                    <a:prstGeom prst="rect">
                      <a:avLst/>
                    </a:prstGeom>
                    <a:noFill/>
                    <a:ln>
                      <a:noFill/>
                    </a:ln>
                  </pic:spPr>
                </pic:pic>
              </a:graphicData>
            </a:graphic>
          </wp:inline>
        </w:drawing>
      </w:r>
    </w:p>
    <w:p w:rsidR="00FF6BDE" w:rsidRPr="003F6D44" w:rsidRDefault="00FF6BDE" w:rsidP="003F6D44">
      <w:pPr>
        <w:spacing w:line="360" w:lineRule="auto"/>
        <w:jc w:val="both"/>
        <w:rPr>
          <w:rFonts w:ascii="Times New Roman" w:hAnsi="Times New Roman"/>
          <w:b/>
        </w:rPr>
      </w:pPr>
    </w:p>
    <w:p w:rsidR="00FF6BDE" w:rsidRPr="003F6D44" w:rsidRDefault="00770A13" w:rsidP="003F6D44">
      <w:pPr>
        <w:spacing w:line="360" w:lineRule="auto"/>
        <w:jc w:val="both"/>
        <w:rPr>
          <w:rFonts w:ascii="Times New Roman" w:hAnsi="Times New Roman"/>
          <w:b/>
        </w:rPr>
      </w:pPr>
      <w:r w:rsidRPr="003F6D44">
        <w:rPr>
          <w:rFonts w:ascii="Times New Roman" w:hAnsi="Times New Roman"/>
          <w:b/>
        </w:rPr>
        <w:t xml:space="preserve">ABLAZIONE TIROIDEA POST-CHIRURGICA CON RADIOIODIO: INDICAZIONI COMUNI E SELETTIVE </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 xml:space="preserve">• L'indicazione all'ablazione post-chirurgica del residuo tiroideo con radioiodio va posta sia sulla base della stadiazione AJCC/UICC (VIII edizione), sia del Sistema di stratificazione iniziale del rischio proposto dall'ATA (utili rispettivamente per la previsione della mortalità per malattia e del rischio di recidiva e/o persistenza di malattia). </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 xml:space="preserve">L’indicazione potrebbe anche basarsi sullo stato di malattia post-operatorio valutato attraverso il dosaggio della tireoglobulina (in corso di terapia con ormoni tiroidei) e della ecografia del collo. </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In casi selezionati, possono trovare indicazione altre procedure di imaging.</w:t>
      </w:r>
    </w:p>
    <w:p w:rsidR="00FF6BDE" w:rsidRPr="003F6D44" w:rsidRDefault="00FF6BDE" w:rsidP="003F6D44">
      <w:pPr>
        <w:spacing w:line="360" w:lineRule="auto"/>
        <w:jc w:val="both"/>
        <w:rPr>
          <w:rFonts w:ascii="Times New Roman" w:hAnsi="Times New Roman"/>
        </w:rPr>
      </w:pPr>
    </w:p>
    <w:p w:rsidR="00FF6BDE" w:rsidRPr="003F6D44" w:rsidRDefault="00770A13" w:rsidP="003F6D44">
      <w:pPr>
        <w:spacing w:line="360" w:lineRule="auto"/>
        <w:jc w:val="both"/>
        <w:rPr>
          <w:rFonts w:ascii="Times New Roman" w:hAnsi="Times New Roman"/>
        </w:rPr>
      </w:pPr>
      <w:r w:rsidRPr="003F6D44">
        <w:rPr>
          <w:rFonts w:ascii="Times New Roman" w:hAnsi="Times New Roman"/>
        </w:rPr>
        <w:t xml:space="preserve">• Nei pazienti a basso rischio ATA (T1a-b N0-X/M0-X), l'ablazione RAI del residuo non è generalmente raccomandata dopo la tiroidectomia. Tuttavia, in singoli casi, particolari aspetti clinici ed organizzativi potrebbero portare a considerare la possibilità di ablazione RAI del residuo tiroideo. </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 xml:space="preserve">• Nei pazienti con rischio ATA intermedio o basso-intermedio (T1-2, N1a-N1b, M0-X) l'ablazione RAI del residuo dovrebbe essere generalmente considerata, in particolare in pazienti con caratteristiche sfavorevoli quali l'età avanzata, i tumori di grandi dimensioni, la presenza di linfonodi macroscopicamente o clinicamente evidenti, di estensione extralinfonodale, di istologia aggressiva o invasione vascolare. </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 xml:space="preserve">• Nei pazienti ad alto rischio o rischio intermedio-alto (T3-4, qualsiasi N, qualsiasi M) la ablazione RAI è di regola raccomandata dopo la tiroidectomia totale. </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 xml:space="preserve">Preparazione per l'ablazione con radioiodio </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 xml:space="preserve">• Nei pazienti con DTC a rischio ATA basso e intermedio senza coinvolgimento estensivo dei linfonodi, la preparazione con stimolazione TSH umano ricombinante (rhTSH) è una valida alternativa alla sospensione del trattamento con ormone tiroideo (THW). </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 xml:space="preserve">• Nei pazienti con DTC ad alto rischio ATA e ad alto rischio di mortalità e morbidità correlati alla </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 xml:space="preserve">malattia, sono necessari dati più controllati provenienti da studi a lungo termine per raccomandare </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 xml:space="preserve">l'uso routinario di rhTSH. </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 xml:space="preserve">• Nei pazienti con DTC di qualsiasi livello di rischio che presentino una significativa comorbidità medica o psichiatrica che non possono tollerare l'ipotiroidismo o non sono in grado di ottenere un'elevazione di TSH in sospensione di terapia con L-tiroxina, la preparazione con rhTSH dovrebbe essere presa in considerazione. </w:t>
      </w:r>
    </w:p>
    <w:p w:rsidR="00FF6BDE" w:rsidRDefault="00FF6BDE" w:rsidP="003F6D44">
      <w:pPr>
        <w:spacing w:line="360" w:lineRule="auto"/>
        <w:jc w:val="both"/>
        <w:rPr>
          <w:rFonts w:ascii="Times New Roman" w:hAnsi="Times New Roman"/>
        </w:rPr>
      </w:pPr>
    </w:p>
    <w:p w:rsidR="00485E8C" w:rsidRDefault="00485E8C" w:rsidP="003F6D44">
      <w:pPr>
        <w:spacing w:line="360" w:lineRule="auto"/>
        <w:jc w:val="both"/>
        <w:rPr>
          <w:rFonts w:ascii="Times New Roman" w:hAnsi="Times New Roman"/>
        </w:rPr>
      </w:pPr>
    </w:p>
    <w:p w:rsidR="00485E8C" w:rsidRDefault="00485E8C" w:rsidP="003F6D44">
      <w:pPr>
        <w:spacing w:line="360" w:lineRule="auto"/>
        <w:jc w:val="both"/>
        <w:rPr>
          <w:rFonts w:ascii="Times New Roman" w:hAnsi="Times New Roman"/>
        </w:rPr>
      </w:pPr>
    </w:p>
    <w:p w:rsidR="00485E8C" w:rsidRPr="003F6D44" w:rsidRDefault="00485E8C" w:rsidP="003F6D44">
      <w:pPr>
        <w:spacing w:line="360" w:lineRule="auto"/>
        <w:jc w:val="both"/>
        <w:rPr>
          <w:rFonts w:ascii="Times New Roman" w:hAnsi="Times New Roman"/>
        </w:rPr>
      </w:pPr>
    </w:p>
    <w:p w:rsidR="00FF6BDE" w:rsidRPr="003F6D44" w:rsidRDefault="00770A13" w:rsidP="003F6D44">
      <w:pPr>
        <w:spacing w:line="360" w:lineRule="auto"/>
        <w:jc w:val="both"/>
        <w:rPr>
          <w:rFonts w:ascii="Times New Roman" w:hAnsi="Times New Roman"/>
          <w:b/>
        </w:rPr>
      </w:pPr>
      <w:r w:rsidRPr="003F6D44">
        <w:rPr>
          <w:rFonts w:ascii="Times New Roman" w:hAnsi="Times New Roman"/>
          <w:b/>
        </w:rPr>
        <w:t xml:space="preserve">SELEZIONE DELL'ATTIVITÀ PIÙ APPROPRIATA DI RADIOIO PER L'ABLAZIONE DEL RESIDUO </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Nei pazienti con carcinoma della tiroide a basso rischio, è generalmente utilizzata la ablazione del residuo con una bassa attività di radioiodio (30-50 mCi) essendo le basse attività efficaci quanto quelle più elevate nell’ottenere un’ablazione completa. La somministrazione di attività più elevate (100 mCi o più) dovrebbero essere considerate per i pazienti ad alto rischio di malattie persistente/ricorrente, quando la somministrazione è intesa in termini di terapia adiuvante o per pazienti non sottoposti a tiroidectomia totale.</w:t>
      </w:r>
    </w:p>
    <w:p w:rsidR="00FF6BDE" w:rsidRPr="003F6D44" w:rsidRDefault="00770A13" w:rsidP="003F6D44">
      <w:pPr>
        <w:spacing w:line="360" w:lineRule="auto"/>
        <w:jc w:val="both"/>
        <w:rPr>
          <w:rFonts w:ascii="Times New Roman" w:hAnsi="Times New Roman"/>
        </w:rPr>
      </w:pPr>
      <w:r w:rsidRPr="003F6D44">
        <w:rPr>
          <w:rFonts w:ascii="Times New Roman" w:hAnsi="Times New Roman"/>
        </w:rPr>
        <w:t>Entro 7-8 giorni dopo la somministrazione di radioiodio a scopo ablativo/terapeutico i pazienti saranno inviati a praticare una scintigrafia total-body post terapia integrata, se disponibile, con acquisizione SPECT/TC nelle regioni di eventuali aree di accumulo dello Iodio radioattivo, a scopo stadiativo.</w:t>
      </w:r>
    </w:p>
    <w:p w:rsidR="00FF6BDE" w:rsidRPr="003F6D44" w:rsidRDefault="00FF6BDE" w:rsidP="003F6D44">
      <w:pPr>
        <w:spacing w:line="360" w:lineRule="auto"/>
        <w:jc w:val="both"/>
        <w:rPr>
          <w:rFonts w:ascii="Times New Roman" w:hAnsi="Times New Roman"/>
        </w:rPr>
      </w:pPr>
    </w:p>
    <w:p w:rsidR="00FF6BDE" w:rsidRPr="003F6D44" w:rsidRDefault="00770A13" w:rsidP="003F6D44">
      <w:pPr>
        <w:spacing w:line="360" w:lineRule="auto"/>
        <w:jc w:val="both"/>
        <w:rPr>
          <w:rFonts w:ascii="Times New Roman" w:hAnsi="Times New Roman"/>
          <w:b/>
        </w:rPr>
      </w:pPr>
      <w:r w:rsidRPr="003F6D44">
        <w:rPr>
          <w:rFonts w:ascii="Times New Roman" w:hAnsi="Times New Roman"/>
          <w:b/>
        </w:rPr>
        <w:t>RI-STRATIFICAZIONE IN BASE ALLA RISPOSTA ALLA TERAPIA</w:t>
      </w:r>
    </w:p>
    <w:p w:rsidR="00FF6BDE" w:rsidRPr="003F6D44" w:rsidRDefault="004F1EC1" w:rsidP="003F6D44">
      <w:pPr>
        <w:spacing w:line="360" w:lineRule="auto"/>
        <w:jc w:val="both"/>
        <w:rPr>
          <w:rFonts w:ascii="Times New Roman" w:hAnsi="Times New Roman"/>
        </w:rPr>
      </w:pPr>
      <w:r w:rsidRPr="003F6D44">
        <w:rPr>
          <w:rFonts w:ascii="Times New Roman" w:hAnsi="Times New Roman"/>
          <w:noProof/>
          <w:lang w:eastAsia="it-IT"/>
        </w:rPr>
        <w:drawing>
          <wp:anchor distT="0" distB="0" distL="114300" distR="114300" simplePos="0" relativeHeight="251675136" behindDoc="1" locked="0" layoutInCell="1" allowOverlap="1">
            <wp:simplePos x="0" y="0"/>
            <wp:positionH relativeFrom="column">
              <wp:posOffset>66167</wp:posOffset>
            </wp:positionH>
            <wp:positionV relativeFrom="paragraph">
              <wp:posOffset>2184959</wp:posOffset>
            </wp:positionV>
            <wp:extent cx="6112510" cy="4039235"/>
            <wp:effectExtent l="0" t="0" r="2540" b="0"/>
            <wp:wrapTight wrapText="bothSides">
              <wp:wrapPolygon edited="0">
                <wp:start x="0" y="0"/>
                <wp:lineTo x="0" y="21495"/>
                <wp:lineTo x="21542" y="21495"/>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112510" cy="4039235"/>
                    </a:xfrm>
                    <a:prstGeom prst="rect">
                      <a:avLst/>
                    </a:prstGeom>
                    <a:noFill/>
                    <a:ln>
                      <a:noFill/>
                    </a:ln>
                  </pic:spPr>
                </pic:pic>
              </a:graphicData>
            </a:graphic>
          </wp:anchor>
        </w:drawing>
      </w:r>
      <w:r w:rsidR="00770A13" w:rsidRPr="003F6D44">
        <w:rPr>
          <w:rFonts w:ascii="Times New Roman" w:hAnsi="Times New Roman"/>
        </w:rPr>
        <w:t>A distanza di 6-12 mesi dalla terapia iniziale (chirurgia con o senza terapia radio-metabolica) è necessario effettuare un re-staging prognostico basato sulla risposta al trattamento, come riportato nelle tabelle successive</w:t>
      </w:r>
      <w:r w:rsidR="00B62EA0" w:rsidRPr="003F6D44">
        <w:rPr>
          <w:rFonts w:ascii="Times New Roman" w:hAnsi="Times New Roman"/>
        </w:rPr>
        <w:t xml:space="preserve"> </w:t>
      </w:r>
      <w:r w:rsidR="00282E27" w:rsidRPr="003F6D44">
        <w:rPr>
          <w:rStyle w:val="Rimandonotaapidipagina"/>
          <w:rFonts w:ascii="Times New Roman" w:hAnsi="Times New Roman"/>
        </w:rPr>
        <w:footnoteReference w:id="8"/>
      </w:r>
      <w:r w:rsidR="00730DF5" w:rsidRPr="003F6D44">
        <w:rPr>
          <w:rFonts w:ascii="Times New Roman" w:hAnsi="Times New Roman"/>
          <w:vertAlign w:val="superscript"/>
        </w:rPr>
        <w:t>,8</w:t>
      </w:r>
      <w:r w:rsidR="00770A13" w:rsidRPr="003F6D44">
        <w:rPr>
          <w:rFonts w:ascii="Times New Roman" w:hAnsi="Times New Roman"/>
        </w:rPr>
        <w:t xml:space="preserve">. Tale rivalutazione prognostica riconosce come indagini cardine: la valutazione (basale o eventualmente dinamica) dei marcatori tumorali Tg ed AbTg; la presenza di malattia morfologicamente evidente valutata, nella maggior parte dei casi, mediante ecografia collo ma anche attraverso scintigrafia diagnostica con I-131 e (nei pazienti classificati ad alto rischio di recidiva/persistenza secondo classificazione ATA) attraverso le varie metodiche di radiologia tradizionale (TAC, RMN) e medico-nucleare (Scintigrafia diagnostica con I-131, PET-18FDG). </w:t>
      </w:r>
    </w:p>
    <w:p w:rsidR="00FF6BDE" w:rsidRPr="003F6D44" w:rsidRDefault="00FF6BDE" w:rsidP="003F6D44">
      <w:pPr>
        <w:spacing w:line="360" w:lineRule="auto"/>
        <w:jc w:val="both"/>
        <w:rPr>
          <w:rFonts w:ascii="Times New Roman" w:hAnsi="Times New Roman"/>
        </w:rPr>
      </w:pPr>
    </w:p>
    <w:p w:rsidR="00FF6BDE" w:rsidRPr="003F6D44" w:rsidRDefault="00FF6BDE" w:rsidP="003F6D44">
      <w:pPr>
        <w:spacing w:line="360" w:lineRule="auto"/>
        <w:jc w:val="both"/>
        <w:rPr>
          <w:rFonts w:ascii="Times New Roman" w:hAnsi="Times New Roman"/>
        </w:rPr>
      </w:pPr>
    </w:p>
    <w:p w:rsidR="00FF6BDE" w:rsidRPr="003F6D44" w:rsidRDefault="00FF6BDE" w:rsidP="003F6D44">
      <w:pPr>
        <w:spacing w:line="360" w:lineRule="auto"/>
        <w:jc w:val="both"/>
        <w:rPr>
          <w:rFonts w:ascii="Times New Roman" w:hAnsi="Times New Roman"/>
        </w:rPr>
      </w:pPr>
    </w:p>
    <w:p w:rsidR="00FF6BDE" w:rsidRPr="003F6D44" w:rsidRDefault="00FF6BDE" w:rsidP="003F6D44">
      <w:pPr>
        <w:spacing w:line="360" w:lineRule="auto"/>
        <w:jc w:val="both"/>
        <w:rPr>
          <w:rFonts w:ascii="Times New Roman" w:hAnsi="Times New Roman"/>
        </w:rPr>
      </w:pPr>
    </w:p>
    <w:p w:rsidR="00FF6BDE" w:rsidRPr="003F6D44" w:rsidRDefault="00FF6BDE" w:rsidP="003F6D44">
      <w:pPr>
        <w:spacing w:line="360" w:lineRule="auto"/>
        <w:jc w:val="both"/>
        <w:rPr>
          <w:rFonts w:ascii="Times New Roman" w:hAnsi="Times New Roman"/>
        </w:rPr>
      </w:pPr>
    </w:p>
    <w:p w:rsidR="00FF6BDE" w:rsidRPr="003F6D44" w:rsidRDefault="00770A13" w:rsidP="003F6D44">
      <w:pPr>
        <w:spacing w:line="360" w:lineRule="auto"/>
        <w:jc w:val="both"/>
        <w:rPr>
          <w:rFonts w:ascii="Times New Roman" w:hAnsi="Times New Roman"/>
        </w:rPr>
      </w:pPr>
      <w:r w:rsidRPr="003F6D44">
        <w:rPr>
          <w:rFonts w:ascii="Times New Roman" w:hAnsi="Times New Roman"/>
        </w:rPr>
        <w:t xml:space="preserve">Dalla combinazione fra valutazione prognostica iniziale e risposta alla terapia iniziale deriverà la modalità di follow-up (tempi ed esami diagnostici) ed anche il livello consigliato di soppressione del TSH, secondo gli schemi seguenti </w:t>
      </w:r>
    </w:p>
    <w:p w:rsidR="00FF6BDE" w:rsidRPr="003F6D44" w:rsidRDefault="00770A13" w:rsidP="003F6D44">
      <w:pPr>
        <w:spacing w:line="360" w:lineRule="auto"/>
        <w:jc w:val="both"/>
        <w:rPr>
          <w:rFonts w:ascii="Times New Roman" w:hAnsi="Times New Roman"/>
          <w:b/>
        </w:rPr>
      </w:pPr>
      <w:r w:rsidRPr="003F6D44">
        <w:rPr>
          <w:rFonts w:ascii="Times New Roman" w:hAnsi="Times New Roman"/>
          <w:noProof/>
          <w:lang w:eastAsia="it-IT"/>
        </w:rPr>
        <w:drawing>
          <wp:anchor distT="0" distB="0" distL="114300" distR="114300" simplePos="0" relativeHeight="251647488" behindDoc="0" locked="0" layoutInCell="1" allowOverlap="1">
            <wp:simplePos x="0" y="0"/>
            <wp:positionH relativeFrom="margin">
              <wp:align>center</wp:align>
            </wp:positionH>
            <wp:positionV relativeFrom="margin">
              <wp:posOffset>1215605</wp:posOffset>
            </wp:positionV>
            <wp:extent cx="7333615" cy="7569835"/>
            <wp:effectExtent l="0" t="0" r="635" b="0"/>
            <wp:wrapSquare wrapText="bothSides"/>
            <wp:docPr id="1034" name="Immagine 36"/>
            <wp:cNvGraphicFramePr/>
            <a:graphic xmlns:a="http://schemas.openxmlformats.org/drawingml/2006/main">
              <a:graphicData uri="http://schemas.openxmlformats.org/drawingml/2006/picture">
                <pic:pic xmlns:pic="http://schemas.openxmlformats.org/drawingml/2006/picture">
                  <pic:nvPicPr>
                    <pic:cNvPr id="1034" name="Immagine 36"/>
                    <pic:cNvPicPr/>
                  </pic:nvPicPr>
                  <pic:blipFill>
                    <a:blip r:embed="rId38" cstate="print"/>
                    <a:srcRect/>
                    <a:stretch>
                      <a:fillRect/>
                    </a:stretch>
                  </pic:blipFill>
                  <pic:spPr>
                    <a:xfrm>
                      <a:off x="0" y="0"/>
                      <a:ext cx="7333615" cy="7569835"/>
                    </a:xfrm>
                    <a:prstGeom prst="rect">
                      <a:avLst/>
                    </a:prstGeom>
                  </pic:spPr>
                </pic:pic>
              </a:graphicData>
            </a:graphic>
          </wp:anchor>
        </w:drawing>
      </w:r>
    </w:p>
    <w:p w:rsidR="00FF6BDE" w:rsidRPr="003F6D44" w:rsidRDefault="00770A13" w:rsidP="003F6D44">
      <w:pPr>
        <w:spacing w:line="360" w:lineRule="auto"/>
        <w:jc w:val="both"/>
        <w:rPr>
          <w:rFonts w:ascii="Times New Roman" w:hAnsi="Times New Roman"/>
          <w:b/>
        </w:rPr>
      </w:pPr>
      <w:r w:rsidRPr="003F6D44">
        <w:rPr>
          <w:rFonts w:ascii="Times New Roman" w:hAnsi="Times New Roman"/>
          <w:noProof/>
          <w:lang w:eastAsia="it-IT"/>
        </w:rPr>
        <w:drawing>
          <wp:anchor distT="0" distB="0" distL="114300" distR="114300" simplePos="0" relativeHeight="251648512" behindDoc="0" locked="0" layoutInCell="1" allowOverlap="1">
            <wp:simplePos x="0" y="0"/>
            <wp:positionH relativeFrom="margin">
              <wp:posOffset>-475615</wp:posOffset>
            </wp:positionH>
            <wp:positionV relativeFrom="margin">
              <wp:posOffset>144145</wp:posOffset>
            </wp:positionV>
            <wp:extent cx="6915150" cy="7026910"/>
            <wp:effectExtent l="0" t="0" r="0" b="0"/>
            <wp:wrapSquare wrapText="bothSides"/>
            <wp:docPr id="1035" name="Immagine 37"/>
            <wp:cNvGraphicFramePr/>
            <a:graphic xmlns:a="http://schemas.openxmlformats.org/drawingml/2006/main">
              <a:graphicData uri="http://schemas.openxmlformats.org/drawingml/2006/picture">
                <pic:pic xmlns:pic="http://schemas.openxmlformats.org/drawingml/2006/picture">
                  <pic:nvPicPr>
                    <pic:cNvPr id="1035" name="Immagine 37"/>
                    <pic:cNvPicPr/>
                  </pic:nvPicPr>
                  <pic:blipFill>
                    <a:blip r:embed="rId39" cstate="print"/>
                    <a:srcRect/>
                    <a:stretch>
                      <a:fillRect/>
                    </a:stretch>
                  </pic:blipFill>
                  <pic:spPr>
                    <a:xfrm>
                      <a:off x="0" y="0"/>
                      <a:ext cx="6915150" cy="7026909"/>
                    </a:xfrm>
                    <a:prstGeom prst="rect">
                      <a:avLst/>
                    </a:prstGeom>
                  </pic:spPr>
                </pic:pic>
              </a:graphicData>
            </a:graphic>
          </wp:anchor>
        </w:drawing>
      </w:r>
      <w:r w:rsidRPr="003F6D44">
        <w:rPr>
          <w:rFonts w:ascii="Times New Roman" w:hAnsi="Times New Roman"/>
          <w:noProof/>
          <w:lang w:eastAsia="it-IT"/>
        </w:rPr>
        <mc:AlternateContent>
          <mc:Choice Requires="wps">
            <w:drawing>
              <wp:anchor distT="0" distB="0" distL="0" distR="0" simplePos="0" relativeHeight="251649536" behindDoc="0" locked="0" layoutInCell="1" allowOverlap="1">
                <wp:simplePos x="0" y="0"/>
                <wp:positionH relativeFrom="column">
                  <wp:posOffset>-135255</wp:posOffset>
                </wp:positionH>
                <wp:positionV relativeFrom="paragraph">
                  <wp:posOffset>718185</wp:posOffset>
                </wp:positionV>
                <wp:extent cx="106045" cy="127635"/>
                <wp:effectExtent l="0" t="0" r="8255" b="5715"/>
                <wp:wrapNone/>
                <wp:docPr id="1036" name="Casella di testo 32"/>
                <wp:cNvGraphicFramePr/>
                <a:graphic xmlns:a="http://schemas.openxmlformats.org/drawingml/2006/main">
                  <a:graphicData uri="http://schemas.microsoft.com/office/word/2010/wordprocessingShape">
                    <wps:wsp>
                      <wps:cNvSpPr/>
                      <wps:spPr>
                        <a:xfrm>
                          <a:off x="0" y="0"/>
                          <a:ext cx="106045" cy="127634"/>
                        </a:xfrm>
                        <a:prstGeom prst="rect">
                          <a:avLst/>
                        </a:prstGeom>
                        <a:solidFill>
                          <a:srgbClr val="FFFFFF"/>
                        </a:solidFill>
                        <a:ln w="6350" cap="flat" cmpd="sng">
                          <a:solidFill>
                            <a:srgbClr val="FFFFFF"/>
                          </a:solidFill>
                          <a:prstDash val="solid"/>
                          <a:round/>
                          <a:headEnd type="none" w="med" len="med"/>
                          <a:tailEnd type="none" w="med" len="med"/>
                        </a:ln>
                      </wps:spPr>
                      <wps:txbx>
                        <w:txbxContent>
                          <w:p w:rsidR="000E7BFC" w:rsidRDefault="000E7BFC"/>
                        </w:txbxContent>
                      </wps:txbx>
                      <wps:bodyPr vert="horz" wrap="square" lIns="91440" tIns="45720" rIns="91440" bIns="45720" anchor="t">
                        <a:noAutofit/>
                      </wps:bodyPr>
                    </wps:wsp>
                  </a:graphicData>
                </a:graphic>
              </wp:anchor>
            </w:drawing>
          </mc:Choice>
          <mc:Fallback>
            <w:pict>
              <v:rect id="Casella di testo 32" o:spid="_x0000_s1026" style="position:absolute;left:0;text-align:left;margin-left:-10.65pt;margin-top:56.55pt;width:8.35pt;height:10.05pt;z-index:2516495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" strokecolor="white" strokeweight=".5pt">
                <v:stroke joinstyle="round"/>
                <v:textbox>
                  <w:txbxContent>
                    <w:p w:rsidR="000E7BFC" w:rsidRDefault="000E7BFC"/>
                  </w:txbxContent>
                </v:textbox>
              </v:rect>
            </w:pict>
          </mc:Fallback>
        </mc:AlternateContent>
      </w:r>
    </w:p>
    <w:p w:rsidR="00FF6BDE" w:rsidRPr="003F6D44" w:rsidRDefault="00FF6BDE" w:rsidP="003F6D44">
      <w:pPr>
        <w:spacing w:line="360" w:lineRule="auto"/>
        <w:jc w:val="both"/>
        <w:rPr>
          <w:rFonts w:ascii="Times New Roman" w:hAnsi="Times New Roman"/>
          <w:b/>
        </w:rPr>
      </w:pPr>
    </w:p>
    <w:p w:rsidR="00FF6BDE" w:rsidRPr="003F6D44" w:rsidRDefault="00FF6BDE" w:rsidP="003F6D44">
      <w:pPr>
        <w:spacing w:line="360" w:lineRule="auto"/>
        <w:jc w:val="both"/>
        <w:rPr>
          <w:rFonts w:ascii="Times New Roman" w:hAnsi="Times New Roman"/>
          <w:b/>
        </w:rPr>
      </w:pPr>
    </w:p>
    <w:p w:rsidR="00FF6BDE" w:rsidRPr="003F6D44" w:rsidRDefault="00FF6BDE" w:rsidP="003F6D44">
      <w:pPr>
        <w:spacing w:line="360" w:lineRule="auto"/>
        <w:jc w:val="both"/>
        <w:rPr>
          <w:rFonts w:ascii="Times New Roman" w:hAnsi="Times New Roman"/>
          <w:b/>
        </w:rPr>
      </w:pPr>
    </w:p>
    <w:p w:rsidR="00FF6BDE" w:rsidRPr="003F6D44" w:rsidRDefault="00FF6BDE" w:rsidP="003F6D44">
      <w:pPr>
        <w:spacing w:line="360" w:lineRule="auto"/>
        <w:jc w:val="both"/>
        <w:rPr>
          <w:rFonts w:ascii="Times New Roman" w:hAnsi="Times New Roman"/>
          <w:b/>
        </w:rPr>
      </w:pPr>
    </w:p>
    <w:p w:rsidR="00FF6BDE" w:rsidRPr="003F6D44" w:rsidRDefault="00FF6BDE" w:rsidP="003F6D44">
      <w:pPr>
        <w:spacing w:line="360" w:lineRule="auto"/>
        <w:jc w:val="both"/>
        <w:rPr>
          <w:rFonts w:ascii="Times New Roman" w:hAnsi="Times New Roman"/>
          <w:b/>
        </w:rPr>
      </w:pPr>
    </w:p>
    <w:p w:rsidR="00FF6BDE" w:rsidRPr="003F6D44" w:rsidRDefault="00770A13" w:rsidP="003F6D44">
      <w:pPr>
        <w:spacing w:line="360" w:lineRule="auto"/>
        <w:jc w:val="both"/>
        <w:rPr>
          <w:rFonts w:ascii="Times New Roman" w:hAnsi="Times New Roman"/>
          <w:b/>
        </w:rPr>
      </w:pPr>
      <w:r w:rsidRPr="003F6D44">
        <w:rPr>
          <w:rFonts w:ascii="Times New Roman" w:hAnsi="Times New Roman"/>
          <w:noProof/>
          <w:lang w:eastAsia="it-IT"/>
        </w:rPr>
        <w:drawing>
          <wp:anchor distT="0" distB="0" distL="114300" distR="114300" simplePos="0" relativeHeight="251650560" behindDoc="0" locked="0" layoutInCell="1" allowOverlap="1">
            <wp:simplePos x="0" y="0"/>
            <wp:positionH relativeFrom="margin">
              <wp:posOffset>-459105</wp:posOffset>
            </wp:positionH>
            <wp:positionV relativeFrom="margin">
              <wp:posOffset>163195</wp:posOffset>
            </wp:positionV>
            <wp:extent cx="7049135" cy="7639050"/>
            <wp:effectExtent l="0" t="0" r="0" b="0"/>
            <wp:wrapSquare wrapText="bothSides"/>
            <wp:docPr id="1037" name="Immagine 38"/>
            <wp:cNvGraphicFramePr/>
            <a:graphic xmlns:a="http://schemas.openxmlformats.org/drawingml/2006/main">
              <a:graphicData uri="http://schemas.openxmlformats.org/drawingml/2006/picture">
                <pic:pic xmlns:pic="http://schemas.openxmlformats.org/drawingml/2006/picture">
                  <pic:nvPicPr>
                    <pic:cNvPr id="1037" name="Immagine 38"/>
                    <pic:cNvPicPr/>
                  </pic:nvPicPr>
                  <pic:blipFill>
                    <a:blip r:embed="rId40" cstate="print"/>
                    <a:srcRect/>
                    <a:stretch>
                      <a:fillRect/>
                    </a:stretch>
                  </pic:blipFill>
                  <pic:spPr>
                    <a:xfrm>
                      <a:off x="0" y="0"/>
                      <a:ext cx="7049135" cy="7639050"/>
                    </a:xfrm>
                    <a:prstGeom prst="rect">
                      <a:avLst/>
                    </a:prstGeom>
                  </pic:spPr>
                </pic:pic>
              </a:graphicData>
            </a:graphic>
          </wp:anchor>
        </w:drawing>
      </w:r>
    </w:p>
    <w:p w:rsidR="00FF6BDE" w:rsidRPr="003F6D44" w:rsidRDefault="00FF6BDE" w:rsidP="003F6D44">
      <w:pPr>
        <w:spacing w:line="360" w:lineRule="auto"/>
        <w:jc w:val="both"/>
        <w:rPr>
          <w:rFonts w:ascii="Times New Roman" w:hAnsi="Times New Roman"/>
          <w:b/>
        </w:rPr>
      </w:pPr>
    </w:p>
    <w:p w:rsidR="00FF6BDE" w:rsidRPr="003F6D44" w:rsidRDefault="00FF6BDE" w:rsidP="003F6D44">
      <w:pPr>
        <w:spacing w:line="360" w:lineRule="auto"/>
        <w:jc w:val="both"/>
        <w:rPr>
          <w:rFonts w:ascii="Times New Roman" w:hAnsi="Times New Roman"/>
          <w:b/>
        </w:rPr>
      </w:pPr>
    </w:p>
    <w:p w:rsidR="00FF6BDE" w:rsidRPr="003F6D44" w:rsidRDefault="00FF6BDE" w:rsidP="003F6D44">
      <w:pPr>
        <w:spacing w:line="360" w:lineRule="auto"/>
        <w:jc w:val="both"/>
        <w:rPr>
          <w:rFonts w:ascii="Times New Roman" w:hAnsi="Times New Roman"/>
          <w:b/>
        </w:rPr>
      </w:pPr>
    </w:p>
    <w:p w:rsidR="00FF6BDE" w:rsidRPr="003F6D44" w:rsidRDefault="00FF6BDE" w:rsidP="003F6D44">
      <w:pPr>
        <w:spacing w:line="360" w:lineRule="auto"/>
        <w:jc w:val="both"/>
        <w:rPr>
          <w:rFonts w:ascii="Times New Roman" w:hAnsi="Times New Roman"/>
          <w:lang w:eastAsia="it-IT"/>
        </w:rPr>
      </w:pPr>
    </w:p>
    <w:p w:rsidR="00FF6BDE" w:rsidRPr="003F6D44" w:rsidRDefault="00770A13" w:rsidP="003F6D44">
      <w:pPr>
        <w:spacing w:line="360" w:lineRule="auto"/>
        <w:jc w:val="both"/>
        <w:rPr>
          <w:rFonts w:ascii="Times New Roman" w:hAnsi="Times New Roman"/>
          <w:b/>
          <w:highlight w:val="yellow"/>
        </w:rPr>
      </w:pPr>
      <w:r w:rsidRPr="003F6D44">
        <w:rPr>
          <w:rFonts w:ascii="Times New Roman" w:hAnsi="Times New Roman"/>
          <w:noProof/>
          <w:lang w:eastAsia="it-IT"/>
        </w:rPr>
        <w:drawing>
          <wp:anchor distT="0" distB="0" distL="114300" distR="114300" simplePos="0" relativeHeight="251651584" behindDoc="0" locked="0" layoutInCell="1" allowOverlap="1">
            <wp:simplePos x="0" y="0"/>
            <wp:positionH relativeFrom="margin">
              <wp:posOffset>-498475</wp:posOffset>
            </wp:positionH>
            <wp:positionV relativeFrom="margin">
              <wp:posOffset>82550</wp:posOffset>
            </wp:positionV>
            <wp:extent cx="7118350" cy="7506335"/>
            <wp:effectExtent l="0" t="0" r="6350" b="0"/>
            <wp:wrapSquare wrapText="bothSides"/>
            <wp:docPr id="1038" name="Immagine 39"/>
            <wp:cNvGraphicFramePr/>
            <a:graphic xmlns:a="http://schemas.openxmlformats.org/drawingml/2006/main">
              <a:graphicData uri="http://schemas.openxmlformats.org/drawingml/2006/picture">
                <pic:pic xmlns:pic="http://schemas.openxmlformats.org/drawingml/2006/picture">
                  <pic:nvPicPr>
                    <pic:cNvPr id="1038" name="Immagine 39"/>
                    <pic:cNvPicPr/>
                  </pic:nvPicPr>
                  <pic:blipFill>
                    <a:blip r:embed="rId41" cstate="print"/>
                    <a:srcRect/>
                    <a:stretch>
                      <a:fillRect/>
                    </a:stretch>
                  </pic:blipFill>
                  <pic:spPr>
                    <a:xfrm>
                      <a:off x="0" y="0"/>
                      <a:ext cx="7118350" cy="7506335"/>
                    </a:xfrm>
                    <a:prstGeom prst="rect">
                      <a:avLst/>
                    </a:prstGeom>
                  </pic:spPr>
                </pic:pic>
              </a:graphicData>
            </a:graphic>
          </wp:anchor>
        </w:drawing>
      </w:r>
    </w:p>
    <w:p w:rsidR="00FF6BDE" w:rsidRPr="003F6D44" w:rsidRDefault="00FF6BDE" w:rsidP="003F6D44">
      <w:pPr>
        <w:spacing w:line="360" w:lineRule="auto"/>
        <w:jc w:val="both"/>
        <w:rPr>
          <w:rFonts w:ascii="Times New Roman" w:hAnsi="Times New Roman"/>
          <w:b/>
        </w:rPr>
      </w:pPr>
    </w:p>
    <w:p w:rsidR="00FF6BDE" w:rsidRPr="003F6D44" w:rsidRDefault="00FF6BDE" w:rsidP="003F6D44">
      <w:pPr>
        <w:spacing w:line="360" w:lineRule="auto"/>
        <w:jc w:val="both"/>
        <w:rPr>
          <w:rFonts w:ascii="Times New Roman" w:hAnsi="Times New Roman"/>
          <w:b/>
        </w:rPr>
      </w:pPr>
    </w:p>
    <w:p w:rsidR="00FF6BDE" w:rsidRPr="003F6D44" w:rsidRDefault="00FF6BDE" w:rsidP="003F6D44">
      <w:pPr>
        <w:spacing w:line="360" w:lineRule="auto"/>
        <w:jc w:val="both"/>
        <w:rPr>
          <w:rFonts w:ascii="Times New Roman" w:hAnsi="Times New Roman"/>
          <w:b/>
        </w:rPr>
      </w:pPr>
    </w:p>
    <w:p w:rsidR="00F361A2" w:rsidRDefault="00F361A2" w:rsidP="003F6D44">
      <w:pPr>
        <w:pStyle w:val="Pa1"/>
        <w:spacing w:after="120" w:line="360" w:lineRule="auto"/>
        <w:jc w:val="both"/>
        <w:rPr>
          <w:rFonts w:ascii="Times New Roman" w:hAnsi="Times New Roman"/>
          <w:b/>
          <w:bCs/>
        </w:rPr>
      </w:pPr>
    </w:p>
    <w:p w:rsidR="00F361A2" w:rsidRPr="00F361A2" w:rsidRDefault="00F361A2" w:rsidP="00F361A2">
      <w:pPr>
        <w:rPr>
          <w:lang w:eastAsia="it-IT"/>
        </w:rPr>
      </w:pPr>
    </w:p>
    <w:p w:rsidR="00FF6BDE" w:rsidRPr="003F6D44" w:rsidRDefault="00770A13" w:rsidP="003F6D44">
      <w:pPr>
        <w:pStyle w:val="Pa1"/>
        <w:spacing w:after="120" w:line="360" w:lineRule="auto"/>
        <w:jc w:val="both"/>
        <w:rPr>
          <w:rFonts w:ascii="Times New Roman" w:hAnsi="Times New Roman"/>
        </w:rPr>
      </w:pPr>
      <w:r w:rsidRPr="003F6D44">
        <w:rPr>
          <w:rFonts w:ascii="Times New Roman" w:hAnsi="Times New Roman"/>
          <w:b/>
          <w:bCs/>
        </w:rPr>
        <w:t>CURE PALLIATIVE</w:t>
      </w:r>
    </w:p>
    <w:p w:rsidR="00FF6BDE" w:rsidRPr="003F6D44" w:rsidRDefault="00770A13" w:rsidP="003F6D44">
      <w:pPr>
        <w:pStyle w:val="Titolo3"/>
        <w:rPr>
          <w:b w:val="0"/>
          <w:u w:val="none"/>
          <w:lang w:eastAsia="it-IT"/>
        </w:rPr>
      </w:pPr>
      <w:r w:rsidRPr="003F6D44">
        <w:rPr>
          <w:b w:val="0"/>
          <w:u w:val="none"/>
          <w:lang w:eastAsia="it-IT"/>
        </w:rPr>
        <w:t xml:space="preserve">La attivazione dei percorsi di cure palliative non è riservata esclusivamente ai pazienti in fase di terminalità. Il sistema della ROC intende seguire il modello della simultaneous care con la collaborazione delle 7 ASL. È opportuno che tale attività sia svolta da un team cross-funzionale, costituito da oncologo medico, terapista del dolore in collaborazione con i servizi Cure Palliative, competenti territorialmente in base alla residenza del paziente e della famiglia. Tali percorsi sono attivabili attraverso la piattaforma ROC.  </w:t>
      </w:r>
    </w:p>
    <w:p w:rsidR="00FF6BDE" w:rsidRPr="003F6D44" w:rsidRDefault="00770A13" w:rsidP="003F6D44">
      <w:pPr>
        <w:pStyle w:val="Titolo3"/>
        <w:rPr>
          <w:b w:val="0"/>
          <w:u w:val="none"/>
          <w:lang w:eastAsia="it-IT"/>
        </w:rPr>
      </w:pPr>
      <w:r w:rsidRPr="003F6D44">
        <w:rPr>
          <w:b w:val="0"/>
          <w:u w:val="none"/>
          <w:lang w:eastAsia="it-IT"/>
        </w:rPr>
        <w:t>Viene considerato non appropriato un trattamento antitumorale palliativo entro 30 giorni prima del decesso o un trattamento chirurgico nell’arco dello stesso tempo quando questo non sia rivolto a migliorare la qualità di vita del paziente. È opportuno costituire un team cross-funzionale, costituito da oncologo medico, terapista del dolore ed attivare i servizi Cure Palliative, competenti territorialmente in base alla residenza del paziente e della famiglia attraverso la piattaforma ROC, per istruire l’iter di cure versus dolore e palliazione da terminalità.</w:t>
      </w:r>
    </w:p>
    <w:p w:rsidR="00FF6BDE" w:rsidRPr="003F6D44" w:rsidRDefault="00770A13" w:rsidP="003F6D44">
      <w:pPr>
        <w:pStyle w:val="Titolo3"/>
        <w:rPr>
          <w:b w:val="0"/>
          <w:u w:val="none"/>
          <w:lang w:eastAsia="it-IT"/>
        </w:rPr>
      </w:pPr>
      <w:r w:rsidRPr="003F6D44">
        <w:rPr>
          <w:b w:val="0"/>
          <w:u w:val="none"/>
          <w:lang w:eastAsia="it-IT"/>
        </w:rPr>
        <w:t>I criteri generali per la definizione di malattia terminale sono:</w:t>
      </w:r>
    </w:p>
    <w:p w:rsidR="00FF6BDE" w:rsidRPr="003F6D44" w:rsidRDefault="00770A13" w:rsidP="003F6D44">
      <w:pPr>
        <w:pStyle w:val="Titolo3"/>
        <w:rPr>
          <w:b w:val="0"/>
          <w:u w:val="none"/>
          <w:lang w:eastAsia="it-IT"/>
        </w:rPr>
      </w:pPr>
      <w:r w:rsidRPr="003F6D44">
        <w:rPr>
          <w:b w:val="0"/>
          <w:u w:val="none"/>
          <w:lang w:eastAsia="it-IT"/>
        </w:rPr>
        <w:t>Terapeutico: esaurimento/assenza o inutilità delle terapie oncologiche per la cura del tumore, o rifiuto da parte del malato.</w:t>
      </w:r>
    </w:p>
    <w:p w:rsidR="00FF6BDE" w:rsidRPr="003F6D44" w:rsidRDefault="00770A13" w:rsidP="003F6D44">
      <w:pPr>
        <w:pStyle w:val="Titolo3"/>
        <w:rPr>
          <w:b w:val="0"/>
          <w:u w:val="none"/>
          <w:lang w:eastAsia="it-IT"/>
        </w:rPr>
      </w:pPr>
      <w:r w:rsidRPr="003F6D44">
        <w:rPr>
          <w:b w:val="0"/>
          <w:u w:val="none"/>
          <w:lang w:eastAsia="it-IT"/>
        </w:rPr>
        <w:t>Clinico: presenza di un quadro clinico che comporta limitazioni dell’autonomia e un frequente bisogno di cure mediche, caratterizzato da un Indice di Karnofsky &lt; 50.</w:t>
      </w:r>
    </w:p>
    <w:p w:rsidR="00FF6BDE" w:rsidRPr="003F6D44" w:rsidRDefault="00770A13" w:rsidP="003F6D44">
      <w:pPr>
        <w:pStyle w:val="Titolo3"/>
        <w:rPr>
          <w:b w:val="0"/>
          <w:u w:val="none"/>
          <w:lang w:eastAsia="it-IT"/>
        </w:rPr>
      </w:pPr>
      <w:r w:rsidRPr="003F6D44">
        <w:rPr>
          <w:b w:val="0"/>
          <w:u w:val="none"/>
          <w:lang w:eastAsia="it-IT"/>
        </w:rPr>
        <w:t>-Prognostico: previsione di sopravvivenza &lt; 6 mesi</w:t>
      </w:r>
    </w:p>
    <w:p w:rsidR="00FF6BDE" w:rsidRPr="003F6D44" w:rsidRDefault="00770A13" w:rsidP="003F6D44">
      <w:pPr>
        <w:pStyle w:val="Titolo3"/>
        <w:rPr>
          <w:b w:val="0"/>
          <w:u w:val="none"/>
          <w:lang w:eastAsia="it-IT"/>
        </w:rPr>
      </w:pPr>
      <w:r w:rsidRPr="003F6D44">
        <w:rPr>
          <w:b w:val="0"/>
          <w:u w:val="none"/>
          <w:lang w:eastAsia="it-IT"/>
        </w:rPr>
        <w:t xml:space="preserve">Quando la malattia è in fase terminale, il Responsabile del Team Multidisciplinare Ospedaliero che comprende, tra gli altri, l'oncologo ed il palliativista detterà precise indicazioni affidando attraverso la piattaforma ROC il paziente ed il nucleo familiare all’U.O. Cure Palliative Domiciliari, competenti per territorio, per la presa in carico con programmi di assistenza domiciliare, disponendo il ricovero presso un Hospice per un programma di assistenza palliativa residenziale.  </w:t>
      </w:r>
    </w:p>
    <w:p w:rsidR="00FF6BDE" w:rsidRPr="003F6D44" w:rsidRDefault="00FF6BDE" w:rsidP="003F6D44">
      <w:pPr>
        <w:pStyle w:val="Titolo3"/>
        <w:rPr>
          <w:b w:val="0"/>
          <w:u w:val="none"/>
          <w:lang w:eastAsia="it-IT"/>
        </w:rPr>
      </w:pPr>
    </w:p>
    <w:p w:rsidR="00FF6BDE" w:rsidRPr="003F6D44" w:rsidRDefault="00770A13" w:rsidP="003F6D44">
      <w:pPr>
        <w:pStyle w:val="Titolo3"/>
        <w:rPr>
          <w:b w:val="0"/>
          <w:u w:val="none"/>
          <w:lang w:eastAsia="it-IT"/>
        </w:rPr>
      </w:pPr>
      <w:r w:rsidRPr="003F6D44">
        <w:rPr>
          <w:b w:val="0"/>
          <w:u w:val="none"/>
          <w:lang w:eastAsia="it-IT"/>
        </w:rPr>
        <w:t>Per il presente PDTA si è tenuto conto delle più recenti linee guida nazionali (</w:t>
      </w:r>
      <w:r w:rsidR="000B2C37" w:rsidRPr="003F6D44">
        <w:rPr>
          <w:b w:val="0"/>
          <w:u w:val="none"/>
          <w:lang w:eastAsia="it-IT"/>
        </w:rPr>
        <w:t xml:space="preserve">SIE, </w:t>
      </w:r>
      <w:r w:rsidRPr="003F6D44">
        <w:rPr>
          <w:b w:val="0"/>
          <w:u w:val="none"/>
          <w:lang w:eastAsia="it-IT"/>
        </w:rPr>
        <w:t xml:space="preserve">AIOM) ed </w:t>
      </w:r>
    </w:p>
    <w:p w:rsidR="00FF6BDE" w:rsidRPr="003F6D44" w:rsidRDefault="00770A13" w:rsidP="003F6D44">
      <w:pPr>
        <w:pStyle w:val="Titolo3"/>
        <w:rPr>
          <w:u w:val="none"/>
        </w:rPr>
      </w:pPr>
      <w:r w:rsidRPr="003F6D44">
        <w:rPr>
          <w:b w:val="0"/>
          <w:u w:val="none"/>
          <w:lang w:eastAsia="it-IT"/>
        </w:rPr>
        <w:t>Internazionali (</w:t>
      </w:r>
      <w:r w:rsidR="000B2C37" w:rsidRPr="003F6D44">
        <w:rPr>
          <w:b w:val="0"/>
          <w:u w:val="none"/>
          <w:lang w:eastAsia="it-IT"/>
        </w:rPr>
        <w:t xml:space="preserve">ATA, </w:t>
      </w:r>
      <w:r w:rsidRPr="003F6D44">
        <w:rPr>
          <w:b w:val="0"/>
          <w:u w:val="none"/>
          <w:lang w:eastAsia="it-IT"/>
        </w:rPr>
        <w:t>ESMO, NCCN).</w:t>
      </w:r>
    </w:p>
    <w:p w:rsidR="00FF6BDE" w:rsidRPr="003F6D44" w:rsidRDefault="00FF6BDE" w:rsidP="003F6D44">
      <w:pPr>
        <w:widowControl w:val="0"/>
        <w:tabs>
          <w:tab w:val="left" w:pos="1055"/>
        </w:tabs>
        <w:autoSpaceDE w:val="0"/>
        <w:autoSpaceDN w:val="0"/>
        <w:spacing w:line="360" w:lineRule="auto"/>
        <w:jc w:val="both"/>
        <w:rPr>
          <w:rFonts w:ascii="Times New Roman" w:eastAsia="Calibri" w:hAnsi="Times New Roman"/>
          <w:b/>
          <w:lang w:eastAsia="en-US"/>
        </w:rPr>
      </w:pPr>
    </w:p>
    <w:p w:rsidR="00FF6BDE" w:rsidRPr="003F6D44" w:rsidRDefault="00FF6BDE" w:rsidP="003F6D44">
      <w:pPr>
        <w:widowControl w:val="0"/>
        <w:tabs>
          <w:tab w:val="left" w:pos="1055"/>
        </w:tabs>
        <w:autoSpaceDE w:val="0"/>
        <w:autoSpaceDN w:val="0"/>
        <w:spacing w:line="360" w:lineRule="auto"/>
        <w:jc w:val="both"/>
        <w:rPr>
          <w:rFonts w:ascii="Times New Roman" w:eastAsia="Calibri" w:hAnsi="Times New Roman"/>
          <w:b/>
          <w:lang w:eastAsia="en-US"/>
        </w:rPr>
      </w:pPr>
    </w:p>
    <w:p w:rsidR="00FF6BDE" w:rsidRDefault="00FF6BDE" w:rsidP="003F6D44">
      <w:pPr>
        <w:widowControl w:val="0"/>
        <w:tabs>
          <w:tab w:val="left" w:pos="1055"/>
        </w:tabs>
        <w:autoSpaceDE w:val="0"/>
        <w:autoSpaceDN w:val="0"/>
        <w:spacing w:line="360" w:lineRule="auto"/>
        <w:jc w:val="both"/>
        <w:rPr>
          <w:rFonts w:ascii="Times New Roman" w:eastAsia="Calibri" w:hAnsi="Times New Roman"/>
          <w:b/>
          <w:lang w:eastAsia="en-US"/>
        </w:rPr>
      </w:pPr>
    </w:p>
    <w:p w:rsidR="004F1EC1" w:rsidRDefault="004F1EC1" w:rsidP="003F6D44">
      <w:pPr>
        <w:widowControl w:val="0"/>
        <w:tabs>
          <w:tab w:val="left" w:pos="1055"/>
        </w:tabs>
        <w:autoSpaceDE w:val="0"/>
        <w:autoSpaceDN w:val="0"/>
        <w:spacing w:line="360" w:lineRule="auto"/>
        <w:jc w:val="both"/>
        <w:rPr>
          <w:rFonts w:ascii="Times New Roman" w:eastAsia="Calibri" w:hAnsi="Times New Roman"/>
          <w:b/>
          <w:lang w:eastAsia="en-US"/>
        </w:rPr>
      </w:pPr>
    </w:p>
    <w:p w:rsidR="004F1EC1" w:rsidRDefault="004F1EC1" w:rsidP="003F6D44">
      <w:pPr>
        <w:widowControl w:val="0"/>
        <w:tabs>
          <w:tab w:val="left" w:pos="1055"/>
        </w:tabs>
        <w:autoSpaceDE w:val="0"/>
        <w:autoSpaceDN w:val="0"/>
        <w:spacing w:line="360" w:lineRule="auto"/>
        <w:jc w:val="both"/>
        <w:rPr>
          <w:rFonts w:ascii="Times New Roman" w:eastAsia="Calibri" w:hAnsi="Times New Roman"/>
          <w:b/>
          <w:lang w:eastAsia="en-US"/>
        </w:rPr>
      </w:pPr>
    </w:p>
    <w:p w:rsidR="004F1EC1" w:rsidRPr="003F6D44" w:rsidRDefault="004F1EC1" w:rsidP="003F6D44">
      <w:pPr>
        <w:widowControl w:val="0"/>
        <w:tabs>
          <w:tab w:val="left" w:pos="1055"/>
        </w:tabs>
        <w:autoSpaceDE w:val="0"/>
        <w:autoSpaceDN w:val="0"/>
        <w:spacing w:line="360" w:lineRule="auto"/>
        <w:jc w:val="both"/>
        <w:rPr>
          <w:rFonts w:ascii="Times New Roman" w:eastAsia="Calibri" w:hAnsi="Times New Roman"/>
          <w:b/>
          <w:lang w:eastAsia="en-US"/>
        </w:rPr>
      </w:pPr>
    </w:p>
    <w:p w:rsidR="00FF6BDE" w:rsidRPr="003F6D44" w:rsidRDefault="00FF6BDE" w:rsidP="003F6D44">
      <w:pPr>
        <w:widowControl w:val="0"/>
        <w:tabs>
          <w:tab w:val="left" w:pos="1055"/>
        </w:tabs>
        <w:autoSpaceDE w:val="0"/>
        <w:autoSpaceDN w:val="0"/>
        <w:spacing w:line="360" w:lineRule="auto"/>
        <w:jc w:val="both"/>
        <w:rPr>
          <w:rFonts w:ascii="Times New Roman" w:eastAsia="Calibri" w:hAnsi="Times New Roman"/>
          <w:b/>
          <w:lang w:eastAsia="en-US"/>
        </w:rPr>
      </w:pPr>
    </w:p>
    <w:p w:rsidR="004A2366" w:rsidRPr="003F6D44" w:rsidRDefault="004A2366" w:rsidP="003F6D44">
      <w:pPr>
        <w:tabs>
          <w:tab w:val="left" w:pos="1055"/>
        </w:tabs>
        <w:spacing w:line="360" w:lineRule="auto"/>
        <w:jc w:val="both"/>
        <w:rPr>
          <w:rFonts w:ascii="Times New Roman" w:hAnsi="Times New Roman"/>
          <w:b/>
        </w:rPr>
      </w:pPr>
      <w:r w:rsidRPr="003F6D44">
        <w:rPr>
          <w:rFonts w:ascii="Times New Roman" w:hAnsi="Times New Roman"/>
          <w:b/>
        </w:rPr>
        <w:t>Attivazione Hospice - piattaforma ROC</w:t>
      </w:r>
    </w:p>
    <w:p w:rsidR="004A2366" w:rsidRPr="003F6D44" w:rsidRDefault="004A2366" w:rsidP="003F6D44">
      <w:pPr>
        <w:tabs>
          <w:tab w:val="left" w:pos="1055"/>
        </w:tabs>
        <w:spacing w:line="360" w:lineRule="auto"/>
        <w:jc w:val="both"/>
        <w:rPr>
          <w:rFonts w:ascii="Times New Roman" w:hAnsi="Times New Roman"/>
          <w:b/>
        </w:rPr>
      </w:pPr>
    </w:p>
    <w:p w:rsidR="004A2366" w:rsidRPr="003F6D44" w:rsidRDefault="004A2366" w:rsidP="003F6D44">
      <w:pPr>
        <w:spacing w:line="360" w:lineRule="auto"/>
        <w:jc w:val="both"/>
        <w:rPr>
          <w:rFonts w:ascii="Times New Roman" w:hAnsi="Times New Roman"/>
          <w:lang w:eastAsia="it-IT"/>
        </w:rPr>
      </w:pPr>
      <w:r w:rsidRPr="003F6D44">
        <w:rPr>
          <w:rFonts w:ascii="Times New Roman" w:eastAsia="Calibri" w:hAnsi="Times New Roman"/>
        </w:rPr>
        <w:t xml:space="preserve">Il case manager su indicazione medica può richiedere l’attivazione dell’Hospice tramite la piattaforma ROC.  La richiesta è rivolta non solo ai pazienti in ricovero ordinario ma anche ai pazienti day hospital ed ambulatoriali. </w:t>
      </w:r>
      <w:r w:rsidRPr="003F6D44">
        <w:rPr>
          <w:rFonts w:ascii="Times New Roman" w:hAnsi="Times New Roman"/>
          <w:lang w:eastAsia="it-IT"/>
        </w:rPr>
        <w:t>La richiesta viene valutata e confermata dal Centro delle Cure palliative dell’ASL del paziente così da procedere entro 48 ore successive al ricovero presso un Hospice pubblico o convenzionato della stessa ASL. In caso in cui non c’è disponibilità di Hospice nell’ASL del paziente, l’ASL si fa carico del paziente ed entro 48 ore successive programma il ricovero presso un Hospice pubblico o convenzionato di un’altra ASL.</w:t>
      </w:r>
      <w:r w:rsidRPr="003F6D44">
        <w:rPr>
          <w:rFonts w:ascii="Times New Roman" w:eastAsia="Calibri" w:hAnsi="Times New Roman"/>
        </w:rPr>
        <w:t xml:space="preserve"> </w:t>
      </w:r>
      <w:r w:rsidRPr="003F6D44">
        <w:rPr>
          <w:rFonts w:ascii="Times New Roman" w:hAnsi="Times New Roman"/>
          <w:lang w:eastAsia="it-IT"/>
        </w:rPr>
        <w:t xml:space="preserve"> </w:t>
      </w:r>
    </w:p>
    <w:p w:rsidR="004A2366" w:rsidRPr="003F6D44" w:rsidRDefault="004F1EC1" w:rsidP="003F6D44">
      <w:pPr>
        <w:spacing w:line="360" w:lineRule="auto"/>
        <w:jc w:val="both"/>
        <w:rPr>
          <w:rFonts w:ascii="Times New Roman" w:hAnsi="Times New Roman"/>
        </w:rPr>
      </w:pPr>
      <w:r w:rsidRPr="003F6D44">
        <w:rPr>
          <w:rFonts w:ascii="Times New Roman" w:hAnsi="Times New Roman"/>
          <w:noProof/>
          <w:lang w:eastAsia="it-IT"/>
        </w:rPr>
        <w:drawing>
          <wp:inline distT="0" distB="0" distL="0" distR="0" wp14:anchorId="3BD26241" wp14:editId="111038CC">
            <wp:extent cx="6116320" cy="4368619"/>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6320" cy="4368619"/>
                    </a:xfrm>
                    <a:prstGeom prst="rect">
                      <a:avLst/>
                    </a:prstGeom>
                  </pic:spPr>
                </pic:pic>
              </a:graphicData>
            </a:graphic>
          </wp:inline>
        </w:drawing>
      </w:r>
    </w:p>
    <w:p w:rsidR="004A2366" w:rsidRPr="003F6D44" w:rsidRDefault="004A2366" w:rsidP="003F6D44">
      <w:pPr>
        <w:spacing w:line="360" w:lineRule="auto"/>
        <w:jc w:val="both"/>
        <w:rPr>
          <w:rFonts w:ascii="Times New Roman" w:eastAsia="Calibri" w:hAnsi="Times New Roman"/>
        </w:rPr>
      </w:pPr>
    </w:p>
    <w:p w:rsidR="004A2366" w:rsidRPr="003F6D44" w:rsidRDefault="004A2366" w:rsidP="003F6D44">
      <w:pPr>
        <w:tabs>
          <w:tab w:val="left" w:pos="1055"/>
        </w:tabs>
        <w:spacing w:line="360" w:lineRule="auto"/>
        <w:jc w:val="both"/>
        <w:rPr>
          <w:rFonts w:ascii="Times New Roman" w:hAnsi="Times New Roman"/>
          <w:b/>
        </w:rPr>
      </w:pPr>
    </w:p>
    <w:p w:rsidR="004A2366" w:rsidRPr="003F6D44" w:rsidRDefault="004A2366" w:rsidP="003F6D44">
      <w:pPr>
        <w:tabs>
          <w:tab w:val="left" w:pos="1055"/>
        </w:tabs>
        <w:spacing w:line="360" w:lineRule="auto"/>
        <w:jc w:val="both"/>
        <w:rPr>
          <w:rFonts w:ascii="Times New Roman" w:hAnsi="Times New Roman"/>
          <w:b/>
        </w:rPr>
      </w:pPr>
    </w:p>
    <w:p w:rsidR="004A2366" w:rsidRPr="003F6D44" w:rsidRDefault="004A2366" w:rsidP="003F6D44">
      <w:pPr>
        <w:tabs>
          <w:tab w:val="left" w:pos="1055"/>
        </w:tabs>
        <w:spacing w:line="360" w:lineRule="auto"/>
        <w:jc w:val="both"/>
        <w:rPr>
          <w:rFonts w:ascii="Times New Roman" w:hAnsi="Times New Roman"/>
          <w:b/>
        </w:rPr>
      </w:pPr>
    </w:p>
    <w:p w:rsidR="004A2366" w:rsidRPr="003F6D44" w:rsidRDefault="004A2366" w:rsidP="003F6D44">
      <w:pPr>
        <w:tabs>
          <w:tab w:val="left" w:pos="1055"/>
        </w:tabs>
        <w:spacing w:line="360" w:lineRule="auto"/>
        <w:jc w:val="both"/>
        <w:rPr>
          <w:rFonts w:ascii="Times New Roman" w:hAnsi="Times New Roman"/>
          <w:b/>
        </w:rPr>
      </w:pPr>
    </w:p>
    <w:p w:rsidR="004A2366" w:rsidRPr="003F6D44" w:rsidRDefault="004A2366" w:rsidP="003F6D44">
      <w:pPr>
        <w:tabs>
          <w:tab w:val="left" w:pos="1055"/>
        </w:tabs>
        <w:spacing w:line="360" w:lineRule="auto"/>
        <w:jc w:val="both"/>
        <w:rPr>
          <w:rFonts w:ascii="Times New Roman" w:hAnsi="Times New Roman"/>
          <w:b/>
        </w:rPr>
      </w:pPr>
    </w:p>
    <w:p w:rsidR="004A2366" w:rsidRPr="003F6D44" w:rsidRDefault="004A2366" w:rsidP="003F6D44">
      <w:pPr>
        <w:tabs>
          <w:tab w:val="left" w:pos="1055"/>
        </w:tabs>
        <w:spacing w:line="360" w:lineRule="auto"/>
        <w:jc w:val="both"/>
        <w:rPr>
          <w:rFonts w:ascii="Times New Roman" w:hAnsi="Times New Roman"/>
          <w:b/>
        </w:rPr>
      </w:pPr>
    </w:p>
    <w:p w:rsidR="004A2366" w:rsidRPr="003F6D44" w:rsidRDefault="004A2366" w:rsidP="003F6D44">
      <w:pPr>
        <w:tabs>
          <w:tab w:val="left" w:pos="1055"/>
        </w:tabs>
        <w:spacing w:line="360" w:lineRule="auto"/>
        <w:jc w:val="both"/>
        <w:rPr>
          <w:rFonts w:ascii="Times New Roman" w:hAnsi="Times New Roman"/>
          <w:b/>
        </w:rPr>
      </w:pPr>
    </w:p>
    <w:p w:rsidR="004A2366" w:rsidRPr="003F6D44" w:rsidRDefault="004A2366" w:rsidP="003F6D44">
      <w:pPr>
        <w:tabs>
          <w:tab w:val="left" w:pos="1055"/>
        </w:tabs>
        <w:spacing w:line="360" w:lineRule="auto"/>
        <w:jc w:val="both"/>
        <w:rPr>
          <w:rFonts w:ascii="Times New Roman" w:hAnsi="Times New Roman"/>
          <w:b/>
        </w:rPr>
      </w:pPr>
      <w:r w:rsidRPr="003F6D44">
        <w:rPr>
          <w:rFonts w:ascii="Times New Roman" w:hAnsi="Times New Roman"/>
          <w:b/>
        </w:rPr>
        <w:t>Procedura generale di funzionamento dei GOM</w:t>
      </w:r>
    </w:p>
    <w:p w:rsidR="004A2366" w:rsidRPr="003F6D44" w:rsidRDefault="004A2366" w:rsidP="003F6D44">
      <w:pPr>
        <w:tabs>
          <w:tab w:val="left" w:pos="1055"/>
        </w:tabs>
        <w:spacing w:line="360" w:lineRule="auto"/>
        <w:jc w:val="both"/>
        <w:rPr>
          <w:rFonts w:ascii="Times New Roman" w:hAnsi="Times New Roman"/>
          <w:b/>
        </w:rPr>
      </w:pPr>
    </w:p>
    <w:p w:rsidR="004A2366" w:rsidRPr="003F6D44" w:rsidRDefault="004A2366" w:rsidP="003F6D44">
      <w:pPr>
        <w:spacing w:line="360" w:lineRule="auto"/>
        <w:ind w:right="226"/>
        <w:jc w:val="both"/>
        <w:rPr>
          <w:rFonts w:ascii="Times New Roman" w:eastAsia="Calibri" w:hAnsi="Times New Roman"/>
        </w:rPr>
      </w:pPr>
      <w:r w:rsidRPr="003F6D44">
        <w:rPr>
          <w:rFonts w:ascii="Times New Roman" w:hAnsi="Times New Roman"/>
          <w:b/>
          <w:lang w:eastAsia="it-IT"/>
        </w:rPr>
        <w:t>Le attività del GOM</w:t>
      </w:r>
      <w:r w:rsidRPr="003F6D44">
        <w:rPr>
          <w:rFonts w:ascii="Times New Roman" w:eastAsia="Calibri" w:hAnsi="Times New Roman"/>
        </w:rPr>
        <w:tab/>
      </w:r>
    </w:p>
    <w:p w:rsidR="004A2366" w:rsidRPr="003F6D44" w:rsidRDefault="004A2366" w:rsidP="003F6D44">
      <w:pPr>
        <w:spacing w:line="360" w:lineRule="auto"/>
        <w:ind w:right="226"/>
        <w:jc w:val="both"/>
        <w:rPr>
          <w:rFonts w:ascii="Times New Roman" w:eastAsia="Calibri" w:hAnsi="Times New Roman"/>
        </w:rPr>
      </w:pPr>
      <w:r w:rsidRPr="003F6D44">
        <w:rPr>
          <w:rFonts w:ascii="Times New Roman" w:eastAsia="Calibri" w:hAnsi="Times New Roman"/>
        </w:rPr>
        <w:t xml:space="preserve">Le attività del GOM si basano sul principio della multidisciplinarietà ovvero quella di prevedere fin dall’inizio del percorso assistenziale il coinvolgimento di tutte le figure professionali competenti per quella patologia In tal modo è possibile attuare una piena sinergia tra gli operatori, volta a definire in modo coordinato ed in un tempo unico il percorso ottimale per ogni singolo paziente. </w:t>
      </w:r>
    </w:p>
    <w:p w:rsidR="005D016D" w:rsidRPr="005304D8" w:rsidRDefault="004A2366" w:rsidP="005D016D">
      <w:pPr>
        <w:spacing w:line="360" w:lineRule="auto"/>
        <w:jc w:val="both"/>
        <w:rPr>
          <w:rFonts w:ascii="Times New Roman" w:hAnsi="Times New Roman"/>
          <w:lang w:eastAsia="en-US"/>
        </w:rPr>
      </w:pPr>
      <w:r w:rsidRPr="003F6D44">
        <w:rPr>
          <w:rFonts w:ascii="Times New Roman" w:eastAsia="Calibri" w:hAnsi="Times New Roman"/>
        </w:rPr>
        <w:t xml:space="preserve">I casi vengono discussi dai gruppi multidisciplinari in maniera sistematica e calendarizzata, al fine di delineare la miglior strategia terapeutica e le fasi della sua attuazione, alla luce dei Percorsi Diagnostico Terapeutici e Assistenziali (PDTA) più aggiornati </w:t>
      </w:r>
      <w:r w:rsidR="005D016D" w:rsidRPr="005304D8">
        <w:rPr>
          <w:rFonts w:ascii="Times New Roman" w:hAnsi="Times New Roman"/>
          <w:lang w:eastAsia="en-US"/>
        </w:rPr>
        <w:t xml:space="preserve">(DD n </w:t>
      </w:r>
      <w:r w:rsidR="005D016D">
        <w:rPr>
          <w:rFonts w:ascii="Times New Roman" w:hAnsi="Times New Roman"/>
          <w:lang w:eastAsia="en-US"/>
        </w:rPr>
        <w:t>626</w:t>
      </w:r>
      <w:r w:rsidR="005D016D" w:rsidRPr="005304D8">
        <w:rPr>
          <w:rFonts w:ascii="Times New Roman" w:hAnsi="Times New Roman"/>
          <w:lang w:eastAsia="en-US"/>
        </w:rPr>
        <w:t xml:space="preserve"> del 2</w:t>
      </w:r>
      <w:r w:rsidR="005D016D">
        <w:rPr>
          <w:rFonts w:ascii="Times New Roman" w:hAnsi="Times New Roman"/>
          <w:lang w:eastAsia="en-US"/>
        </w:rPr>
        <w:t>9/09/2023</w:t>
      </w:r>
      <w:r w:rsidR="005D016D" w:rsidRPr="005304D8">
        <w:rPr>
          <w:rFonts w:ascii="Times New Roman" w:hAnsi="Times New Roman"/>
          <w:lang w:eastAsia="en-US"/>
        </w:rPr>
        <w:t xml:space="preserve"> della Regione Campania). </w:t>
      </w:r>
    </w:p>
    <w:p w:rsidR="004A2366" w:rsidRPr="003F6D44" w:rsidRDefault="004A2366" w:rsidP="003F6D44">
      <w:pPr>
        <w:spacing w:line="360" w:lineRule="auto"/>
        <w:ind w:right="226"/>
        <w:jc w:val="both"/>
        <w:rPr>
          <w:rFonts w:ascii="Times New Roman" w:eastAsia="Calibri" w:hAnsi="Times New Roman"/>
        </w:rPr>
      </w:pPr>
      <w:r w:rsidRPr="003F6D44">
        <w:rPr>
          <w:rFonts w:ascii="Times New Roman" w:eastAsia="Calibri" w:hAnsi="Times New Roman"/>
        </w:rPr>
        <w:t>I pazienti che vengono discussi sono coloro che hanno una neoplasia con prima diagnosi o con sospetto diagnostico o che necessitano di ulteriori valutazioni nel corso dell’iter terapeutico.</w:t>
      </w:r>
    </w:p>
    <w:p w:rsidR="004A2366" w:rsidRPr="003F6D44" w:rsidRDefault="004A2366" w:rsidP="003F6D44">
      <w:pPr>
        <w:spacing w:line="360" w:lineRule="auto"/>
        <w:ind w:right="226"/>
        <w:jc w:val="both"/>
        <w:rPr>
          <w:rFonts w:ascii="Times New Roman" w:eastAsia="Calibri" w:hAnsi="Times New Roman"/>
        </w:rPr>
      </w:pPr>
      <w:r w:rsidRPr="003F6D44">
        <w:rPr>
          <w:rFonts w:ascii="Times New Roman" w:eastAsia="Calibri" w:hAnsi="Times New Roman"/>
        </w:rPr>
        <w:t xml:space="preserve">I GOM creano percorsi dedicati per i pazienti GOM che necessitano di valutazione diagnostica al fine di scegliere in breve tempo la miglior indicazione diagnostica-terapeutica.  </w:t>
      </w:r>
    </w:p>
    <w:p w:rsidR="004A2366" w:rsidRPr="003F6D44" w:rsidRDefault="004A2366" w:rsidP="003F6D44">
      <w:pPr>
        <w:spacing w:line="360" w:lineRule="auto"/>
        <w:ind w:right="226"/>
        <w:jc w:val="both"/>
        <w:rPr>
          <w:rFonts w:ascii="Times New Roman" w:eastAsia="Calibri" w:hAnsi="Times New Roman"/>
        </w:rPr>
      </w:pPr>
      <w:r w:rsidRPr="003F6D44">
        <w:rPr>
          <w:rFonts w:ascii="Times New Roman" w:eastAsia="Calibri" w:hAnsi="Times New Roman"/>
        </w:rPr>
        <w:t xml:space="preserve">Tra le varie attività del case manager su indicazione medica è possibile attivare l’Assistenza Domiciliare Integrata nelle fasi successive. </w:t>
      </w:r>
    </w:p>
    <w:p w:rsidR="004A2366" w:rsidRPr="003F6D44" w:rsidRDefault="004A2366" w:rsidP="003F6D44">
      <w:pPr>
        <w:spacing w:line="360" w:lineRule="auto"/>
        <w:ind w:right="226"/>
        <w:jc w:val="both"/>
        <w:rPr>
          <w:rFonts w:ascii="Times New Roman" w:eastAsia="Calibri" w:hAnsi="Times New Roman"/>
        </w:rPr>
      </w:pPr>
    </w:p>
    <w:p w:rsidR="004A2366" w:rsidRPr="003F6D44" w:rsidRDefault="004A2366" w:rsidP="003F6D44">
      <w:pPr>
        <w:spacing w:line="360" w:lineRule="auto"/>
        <w:ind w:right="226"/>
        <w:jc w:val="both"/>
        <w:rPr>
          <w:rFonts w:ascii="Times New Roman" w:hAnsi="Times New Roman"/>
          <w:b/>
          <w:lang w:eastAsia="it-IT"/>
        </w:rPr>
      </w:pPr>
      <w:r w:rsidRPr="003F6D44">
        <w:rPr>
          <w:rFonts w:ascii="Times New Roman" w:hAnsi="Times New Roman"/>
          <w:b/>
          <w:lang w:eastAsia="it-IT"/>
        </w:rPr>
        <w:t xml:space="preserve"> Percorso diagnostico per alcuni GOM</w:t>
      </w:r>
    </w:p>
    <w:p w:rsidR="004A2366" w:rsidRPr="003F6D44" w:rsidRDefault="004A2366" w:rsidP="003F6D44">
      <w:pPr>
        <w:spacing w:line="360" w:lineRule="auto"/>
        <w:ind w:right="226"/>
        <w:jc w:val="both"/>
        <w:rPr>
          <w:rFonts w:ascii="Times New Roman" w:eastAsia="Calibri" w:hAnsi="Times New Roman"/>
        </w:rPr>
      </w:pPr>
      <w:r w:rsidRPr="003F6D44">
        <w:rPr>
          <w:rFonts w:ascii="Times New Roman" w:eastAsia="Calibri" w:hAnsi="Times New Roman"/>
        </w:rPr>
        <w:t>Alcuni GOM hanno organizzato degli slot per prestazioni diagnostiche ambulatoriali (con impegnativa) per i pazienti in valutazione GOM.</w:t>
      </w:r>
    </w:p>
    <w:p w:rsidR="004A2366" w:rsidRPr="003F6D44" w:rsidRDefault="004A2366" w:rsidP="003F6D44">
      <w:pPr>
        <w:spacing w:line="360" w:lineRule="auto"/>
        <w:ind w:right="226"/>
        <w:jc w:val="both"/>
        <w:rPr>
          <w:rFonts w:ascii="Times New Roman" w:eastAsia="Calibri" w:hAnsi="Times New Roman"/>
        </w:rPr>
      </w:pPr>
      <w:r w:rsidRPr="003F6D44">
        <w:rPr>
          <w:rFonts w:ascii="Times New Roman" w:eastAsia="Calibri" w:hAnsi="Times New Roman"/>
        </w:rPr>
        <w:t>Le richieste vanno fatte solo dai case manager. Il case manager riceve la data e avverte il paziente. La responsabilità delle richieste è del responsabile del GOM.</w:t>
      </w:r>
    </w:p>
    <w:p w:rsidR="004A2366" w:rsidRPr="003F6D44" w:rsidRDefault="004A2366" w:rsidP="003F6D44">
      <w:pPr>
        <w:spacing w:line="360" w:lineRule="auto"/>
        <w:ind w:right="226"/>
        <w:jc w:val="both"/>
        <w:rPr>
          <w:rFonts w:ascii="Times New Roman" w:hAnsi="Times New Roman"/>
          <w:b/>
          <w:lang w:eastAsia="it-IT"/>
        </w:rPr>
      </w:pPr>
    </w:p>
    <w:p w:rsidR="004A2366" w:rsidRPr="003F6D44" w:rsidRDefault="004A2366" w:rsidP="003F6D44">
      <w:pPr>
        <w:spacing w:line="360" w:lineRule="auto"/>
        <w:ind w:right="226"/>
        <w:jc w:val="both"/>
        <w:rPr>
          <w:rFonts w:ascii="Times New Roman" w:hAnsi="Times New Roman"/>
          <w:b/>
          <w:lang w:eastAsia="it-IT"/>
        </w:rPr>
      </w:pPr>
      <w:r w:rsidRPr="003F6D44">
        <w:rPr>
          <w:rFonts w:ascii="Times New Roman" w:hAnsi="Times New Roman"/>
          <w:b/>
          <w:lang w:eastAsia="it-IT"/>
        </w:rPr>
        <w:t>Prenotazione diagnostica GOM sulla piattaforma</w:t>
      </w:r>
    </w:p>
    <w:p w:rsidR="004A2366" w:rsidRPr="003F6D44" w:rsidRDefault="004A2366" w:rsidP="003F6D44">
      <w:pPr>
        <w:spacing w:line="360" w:lineRule="auto"/>
        <w:ind w:right="226"/>
        <w:jc w:val="both"/>
        <w:rPr>
          <w:rFonts w:ascii="Times New Roman" w:eastAsia="Calibri" w:hAnsi="Times New Roman"/>
        </w:rPr>
      </w:pPr>
      <w:r w:rsidRPr="003F6D44">
        <w:rPr>
          <w:rFonts w:ascii="Times New Roman" w:eastAsia="Calibri" w:hAnsi="Times New Roman"/>
        </w:rPr>
        <w:t>Il case manager su indicazione medica, con le proprie credenziali, prenota esami diagnostici necessari per la valutazione del paziente GOM utilizzando il percorso dedicato. Il case manager contatta il paziente per informarlo sulla data e sulle modalità che necessita l’esame richiesto (quale impegnativa, eventuale premedicazione ecc.)</w:t>
      </w:r>
    </w:p>
    <w:p w:rsidR="004A2366" w:rsidRPr="003F6D44" w:rsidRDefault="004A2366" w:rsidP="003F6D44">
      <w:pPr>
        <w:spacing w:line="360" w:lineRule="auto"/>
        <w:ind w:right="226"/>
        <w:jc w:val="both"/>
        <w:rPr>
          <w:rFonts w:ascii="Times New Roman" w:eastAsia="Calibri" w:hAnsi="Times New Roman"/>
        </w:rPr>
      </w:pPr>
    </w:p>
    <w:p w:rsidR="004A2366" w:rsidRPr="003F6D44" w:rsidRDefault="004A2366" w:rsidP="003F6D44">
      <w:pPr>
        <w:spacing w:line="360" w:lineRule="auto"/>
        <w:ind w:right="226"/>
        <w:jc w:val="both"/>
        <w:rPr>
          <w:rFonts w:ascii="Times New Roman" w:hAnsi="Times New Roman"/>
          <w:b/>
          <w:lang w:eastAsia="it-IT"/>
        </w:rPr>
      </w:pPr>
      <w:r w:rsidRPr="003F6D44">
        <w:rPr>
          <w:rFonts w:ascii="Times New Roman" w:hAnsi="Times New Roman"/>
          <w:b/>
          <w:lang w:eastAsia="it-IT"/>
        </w:rPr>
        <w:t>Primo contatto con il paziente</w:t>
      </w:r>
    </w:p>
    <w:p w:rsidR="004A2366" w:rsidRPr="003F6D44" w:rsidRDefault="004A2366" w:rsidP="003F6D44">
      <w:pPr>
        <w:spacing w:line="360" w:lineRule="auto"/>
        <w:ind w:right="226"/>
        <w:jc w:val="both"/>
        <w:rPr>
          <w:rFonts w:ascii="Times New Roman" w:hAnsi="Times New Roman"/>
          <w:lang w:eastAsia="it-IT"/>
        </w:rPr>
      </w:pPr>
      <w:r w:rsidRPr="003F6D44">
        <w:rPr>
          <w:rFonts w:ascii="Times New Roman" w:hAnsi="Times New Roman"/>
          <w:lang w:eastAsia="it-IT"/>
        </w:rPr>
        <w:t xml:space="preserve">Come definito per tutta la Rete Oncologica regionale, nel sospetto clinico di patologia oncologica, i pazienti afferiranno perché indirizzati dal proprio medico di Medicina Generale (MMG), da un medico di I livello di un centro oncologico di II livello [Centro Oncologico Regionale Polispecialistico (CORP) o Centro Oncologico di Riferimento Polispecialistico Universitario o a carattere Scientifico (CORPUS)] o medico dell’ASL. </w:t>
      </w:r>
    </w:p>
    <w:p w:rsidR="004A2366" w:rsidRPr="003F6D44" w:rsidRDefault="004A2366" w:rsidP="003F6D44">
      <w:pPr>
        <w:spacing w:line="360" w:lineRule="auto"/>
        <w:ind w:right="226"/>
        <w:jc w:val="both"/>
        <w:rPr>
          <w:rFonts w:ascii="Times New Roman" w:eastAsia="Calibri" w:hAnsi="Times New Roman"/>
        </w:rPr>
      </w:pPr>
      <w:r w:rsidRPr="003F6D44">
        <w:rPr>
          <w:rFonts w:ascii="Times New Roman" w:hAnsi="Times New Roman"/>
          <w:lang w:eastAsia="it-IT"/>
        </w:rPr>
        <w:t xml:space="preserve">L’invio del paziente ai GOM può avvenire a seguito di visita da parte di un medico del centro oncologico o direttamente da altri centri o dai medici del territorio. La visita sarà svolta entro sette giorni, </w:t>
      </w:r>
      <w:r w:rsidRPr="003F6D44">
        <w:rPr>
          <w:rFonts w:ascii="Times New Roman" w:eastAsia="Calibri" w:hAnsi="Times New Roman"/>
        </w:rPr>
        <w:t>Il case manager prenota la visita e avvisa il paziente. Sarà cura del GOM indirizzare il paziente alla fase di percorso diagnostico-terapeutico appropriata, in base alla tipologia di neoplasia ed alla stadiazione.</w:t>
      </w:r>
    </w:p>
    <w:p w:rsidR="004A2366" w:rsidRPr="003F6D44" w:rsidRDefault="004A2366" w:rsidP="003F6D44">
      <w:pPr>
        <w:spacing w:line="360" w:lineRule="auto"/>
        <w:ind w:right="226"/>
        <w:jc w:val="both"/>
        <w:rPr>
          <w:rFonts w:ascii="Times New Roman" w:eastAsia="Calibri" w:hAnsi="Times New Roman"/>
        </w:rPr>
      </w:pPr>
    </w:p>
    <w:p w:rsidR="004A2366" w:rsidRPr="003F6D44" w:rsidRDefault="004A2366" w:rsidP="003F6D44">
      <w:pPr>
        <w:keepNext/>
        <w:spacing w:line="360" w:lineRule="auto"/>
        <w:jc w:val="both"/>
        <w:outlineLvl w:val="1"/>
        <w:rPr>
          <w:rFonts w:ascii="Times New Roman" w:hAnsi="Times New Roman"/>
          <w:bCs/>
          <w:lang w:eastAsia="it-IT"/>
        </w:rPr>
      </w:pPr>
      <w:r w:rsidRPr="003F6D44">
        <w:rPr>
          <w:rFonts w:ascii="Times New Roman" w:hAnsi="Times New Roman"/>
          <w:b/>
          <w:bCs/>
          <w:lang w:eastAsia="it-IT"/>
        </w:rPr>
        <w:t>Presa in carico del paziente</w:t>
      </w:r>
    </w:p>
    <w:p w:rsidR="004A2366" w:rsidRPr="003F6D44" w:rsidRDefault="004A2366" w:rsidP="003F6D44">
      <w:pPr>
        <w:spacing w:line="360" w:lineRule="auto"/>
        <w:ind w:right="226"/>
        <w:jc w:val="both"/>
        <w:rPr>
          <w:rFonts w:ascii="Times New Roman" w:hAnsi="Times New Roman"/>
          <w:lang w:eastAsia="it-IT"/>
        </w:rPr>
      </w:pPr>
      <w:r w:rsidRPr="003F6D44">
        <w:rPr>
          <w:rFonts w:ascii="Times New Roman" w:hAnsi="Times New Roman"/>
          <w:lang w:eastAsia="it-IT"/>
        </w:rPr>
        <w:t xml:space="preserve">La Presa in Carico del paziente nella sua globalità prevede l’integrazione di più professionisti </w:t>
      </w:r>
    </w:p>
    <w:p w:rsidR="004A2366" w:rsidRPr="003F6D44" w:rsidRDefault="004A2366" w:rsidP="003F6D44">
      <w:pPr>
        <w:spacing w:line="360" w:lineRule="auto"/>
        <w:ind w:right="226"/>
        <w:jc w:val="both"/>
        <w:rPr>
          <w:rFonts w:ascii="Times New Roman" w:hAnsi="Times New Roman"/>
          <w:lang w:eastAsia="it-IT"/>
        </w:rPr>
      </w:pPr>
      <w:r w:rsidRPr="003F6D44">
        <w:rPr>
          <w:rFonts w:ascii="Times New Roman" w:hAnsi="Times New Roman"/>
          <w:lang w:eastAsia="it-IT"/>
        </w:rPr>
        <w:t>Il case manager prenota la visita ed avvisa il paziente. La richiesta di visita al GOM per pazienti non afferenti al CORP/CORPUS di riferimento avviene attraverso la piattaforma della Rete Oncologica Campana. Il case manager del GOM prende in carico il paziente, verifica che i dati inseriti nella scheda paziente siano completi, lo conduce alla visita multidisciplinare e segue il percorso diagnostico terapeutico come previsto dal PDTA regionale.</w:t>
      </w:r>
    </w:p>
    <w:p w:rsidR="004A2366" w:rsidRPr="003F6D44" w:rsidRDefault="004A2366" w:rsidP="003F6D44">
      <w:pPr>
        <w:spacing w:line="360" w:lineRule="auto"/>
        <w:ind w:right="226"/>
        <w:jc w:val="both"/>
        <w:rPr>
          <w:rFonts w:ascii="Times New Roman" w:hAnsi="Times New Roman"/>
          <w:lang w:eastAsia="it-IT"/>
        </w:rPr>
      </w:pPr>
      <w:r w:rsidRPr="003F6D44">
        <w:rPr>
          <w:rFonts w:ascii="Times New Roman" w:hAnsi="Times New Roman"/>
          <w:lang w:eastAsia="it-IT"/>
        </w:rPr>
        <w:t>Il paziente effettuerà la prima visita necessaria per l’inquadramento del problema presso un ambulatorio dedicato entro 7 giorni dalla segnalazione.</w:t>
      </w:r>
    </w:p>
    <w:p w:rsidR="004A2366" w:rsidRPr="003F6D44" w:rsidRDefault="004A2366" w:rsidP="003F6D44">
      <w:pPr>
        <w:spacing w:line="360" w:lineRule="auto"/>
        <w:ind w:right="226"/>
        <w:jc w:val="both"/>
        <w:rPr>
          <w:rFonts w:ascii="Times New Roman" w:hAnsi="Times New Roman"/>
          <w:lang w:eastAsia="it-IT"/>
        </w:rPr>
      </w:pPr>
    </w:p>
    <w:p w:rsidR="004A2366" w:rsidRPr="003F6D44" w:rsidRDefault="004A2366" w:rsidP="003F6D44">
      <w:pPr>
        <w:keepNext/>
        <w:spacing w:line="360" w:lineRule="auto"/>
        <w:jc w:val="both"/>
        <w:outlineLvl w:val="1"/>
        <w:rPr>
          <w:rFonts w:ascii="Times New Roman" w:hAnsi="Times New Roman"/>
          <w:bCs/>
          <w:lang w:eastAsia="it-IT"/>
        </w:rPr>
      </w:pPr>
      <w:r w:rsidRPr="003F6D44">
        <w:rPr>
          <w:rFonts w:ascii="Times New Roman" w:hAnsi="Times New Roman"/>
          <w:b/>
          <w:bCs/>
          <w:lang w:eastAsia="it-IT"/>
        </w:rPr>
        <w:t>La riunione multidisciplinare</w:t>
      </w:r>
    </w:p>
    <w:p w:rsidR="004A2366" w:rsidRPr="003F6D44" w:rsidRDefault="004A2366" w:rsidP="003F6D44">
      <w:pPr>
        <w:spacing w:line="360" w:lineRule="auto"/>
        <w:ind w:right="226"/>
        <w:jc w:val="both"/>
        <w:rPr>
          <w:rFonts w:ascii="Times New Roman" w:hAnsi="Times New Roman"/>
          <w:lang w:eastAsia="it-IT"/>
        </w:rPr>
      </w:pPr>
      <w:r w:rsidRPr="003F6D44">
        <w:rPr>
          <w:rFonts w:ascii="Times New Roman" w:eastAsia="Calibri" w:hAnsi="Times New Roman"/>
        </w:rPr>
        <w:t xml:space="preserve">La riunione multidisciplinare del GOM avviene in maniera sistematica (una volta a settimana o ogni quindici giorni) e calendarizzata (sempre la stessa ora e giorno della settimana). Il GOM prima della pandemia avveniva raggruppando i membri del Core Team ed il case manager in una stanza adibita per il GOM, ora la discussione avviene in molti casi in maniera telematica </w:t>
      </w:r>
    </w:p>
    <w:p w:rsidR="004A2366" w:rsidRPr="003F6D44" w:rsidRDefault="004A2366" w:rsidP="003F6D44">
      <w:pPr>
        <w:spacing w:line="360" w:lineRule="auto"/>
        <w:ind w:right="226"/>
        <w:jc w:val="both"/>
        <w:rPr>
          <w:rFonts w:ascii="Times New Roman" w:hAnsi="Times New Roman"/>
          <w:lang w:eastAsia="it-IT"/>
        </w:rPr>
      </w:pPr>
    </w:p>
    <w:p w:rsidR="004A2366" w:rsidRPr="003F6D44" w:rsidRDefault="004A2366" w:rsidP="003F6D44">
      <w:pPr>
        <w:keepNext/>
        <w:spacing w:line="360" w:lineRule="auto"/>
        <w:jc w:val="both"/>
        <w:outlineLvl w:val="1"/>
        <w:rPr>
          <w:rFonts w:ascii="Times New Roman" w:hAnsi="Times New Roman"/>
          <w:bCs/>
          <w:lang w:eastAsia="it-IT"/>
        </w:rPr>
      </w:pPr>
      <w:r w:rsidRPr="003F6D44">
        <w:rPr>
          <w:rFonts w:ascii="Times New Roman" w:hAnsi="Times New Roman"/>
          <w:b/>
          <w:bCs/>
          <w:lang w:eastAsia="it-IT"/>
        </w:rPr>
        <w:t>Comunicazione al paziente</w:t>
      </w:r>
    </w:p>
    <w:p w:rsidR="004A2366" w:rsidRPr="003F6D44" w:rsidRDefault="004A2366" w:rsidP="003F6D44">
      <w:pPr>
        <w:spacing w:line="360" w:lineRule="auto"/>
        <w:ind w:right="226"/>
        <w:jc w:val="both"/>
        <w:rPr>
          <w:rFonts w:ascii="Times New Roman" w:eastAsia="Calibri" w:hAnsi="Times New Roman"/>
        </w:rPr>
      </w:pPr>
      <w:r w:rsidRPr="003F6D44">
        <w:rPr>
          <w:rFonts w:ascii="Times New Roman" w:eastAsia="Calibri" w:hAnsi="Times New Roman"/>
        </w:rPr>
        <w:t xml:space="preserve">La comunicazione al paziente ha un ruolo fondamentale. Il case manager avvisa e spiega le modalità per le visite e gli eventuali esami diagnostici richiesti dal GOM, informa il paziente della data visita post-GOM e   comunica con il medico l’indicazione diagnostica-terapeutica data dal GOM. </w:t>
      </w:r>
    </w:p>
    <w:p w:rsidR="004A2366" w:rsidRPr="003F6D44" w:rsidRDefault="004A2366" w:rsidP="003F6D44">
      <w:pPr>
        <w:spacing w:line="360" w:lineRule="auto"/>
        <w:ind w:right="226"/>
        <w:jc w:val="both"/>
        <w:rPr>
          <w:rFonts w:ascii="Times New Roman" w:eastAsia="Calibri" w:hAnsi="Times New Roman"/>
        </w:rPr>
      </w:pPr>
    </w:p>
    <w:p w:rsidR="004A2366" w:rsidRPr="003F6D44" w:rsidRDefault="004A2366" w:rsidP="003F6D44">
      <w:pPr>
        <w:keepNext/>
        <w:spacing w:line="360" w:lineRule="auto"/>
        <w:jc w:val="both"/>
        <w:outlineLvl w:val="1"/>
        <w:rPr>
          <w:rFonts w:ascii="Times New Roman" w:hAnsi="Times New Roman"/>
          <w:bCs/>
          <w:lang w:eastAsia="it-IT"/>
        </w:rPr>
      </w:pPr>
      <w:r w:rsidRPr="003F6D44">
        <w:rPr>
          <w:rFonts w:ascii="Times New Roman" w:hAnsi="Times New Roman"/>
          <w:b/>
          <w:bCs/>
          <w:lang w:eastAsia="it-IT"/>
        </w:rPr>
        <w:t>Verbali</w:t>
      </w:r>
    </w:p>
    <w:p w:rsidR="004A2366" w:rsidRPr="003F6D44" w:rsidRDefault="004A2366" w:rsidP="003F6D44">
      <w:pPr>
        <w:tabs>
          <w:tab w:val="left" w:pos="1006"/>
        </w:tabs>
        <w:spacing w:line="360" w:lineRule="auto"/>
        <w:jc w:val="both"/>
        <w:rPr>
          <w:rFonts w:ascii="Times New Roman" w:eastAsia="Calibri" w:hAnsi="Times New Roman"/>
        </w:rPr>
      </w:pPr>
      <w:r w:rsidRPr="003F6D44">
        <w:rPr>
          <w:rFonts w:ascii="Times New Roman" w:eastAsia="Calibri" w:hAnsi="Times New Roman"/>
        </w:rPr>
        <w:t xml:space="preserve">Il referto del GOM è un documento che attesta dopo la valutazione del gruppo multidisciplinare la miglior indicazione diagnostico-terapeutica. Il verbale è composto dall’anagrafica, patologie concomitanti, terapie in corso ed anamnesi oncologica del paziente compilati dal case-manager o dal medico proponente. Durante il GOM vengono segnalati nel referto le valutazioni, l’indicazione e il programma. Una volta completato il referto con l’effettiva indicazione terapeutica, viene stampato e firmato dai membri che hanno discusso il caso (o per centri che effettuano riunioni telematiche per problematiche COVID viene stampato e firmato dal coordinatore del GOM e dal case-manager). Il case manager dopo la conclusione carica il referto sulla piattaforma della Rete Oncologica Campana per renderli disponibili per i MMG e medici invianti </w:t>
      </w:r>
    </w:p>
    <w:p w:rsidR="004A2366" w:rsidRPr="003F6D44" w:rsidRDefault="004A2366" w:rsidP="003F6D44">
      <w:pPr>
        <w:keepNext/>
        <w:spacing w:line="360" w:lineRule="auto"/>
        <w:ind w:firstLine="708"/>
        <w:jc w:val="both"/>
        <w:outlineLvl w:val="1"/>
        <w:rPr>
          <w:rFonts w:ascii="Times New Roman" w:hAnsi="Times New Roman"/>
          <w:b/>
          <w:lang w:eastAsia="it-IT"/>
        </w:rPr>
      </w:pPr>
    </w:p>
    <w:p w:rsidR="004A2366" w:rsidRPr="003F6D44" w:rsidRDefault="004A2366" w:rsidP="003F6D44">
      <w:pPr>
        <w:keepNext/>
        <w:spacing w:line="360" w:lineRule="auto"/>
        <w:jc w:val="both"/>
        <w:outlineLvl w:val="1"/>
        <w:rPr>
          <w:rFonts w:ascii="Times New Roman" w:hAnsi="Times New Roman"/>
          <w:bCs/>
          <w:lang w:eastAsia="it-IT"/>
        </w:rPr>
      </w:pPr>
      <w:r w:rsidRPr="003F6D44">
        <w:rPr>
          <w:rFonts w:ascii="Times New Roman" w:hAnsi="Times New Roman"/>
          <w:b/>
          <w:bCs/>
          <w:lang w:eastAsia="it-IT"/>
        </w:rPr>
        <w:t>Chiusura scheda - piattaforma ROC</w:t>
      </w:r>
    </w:p>
    <w:p w:rsidR="004A2366" w:rsidRPr="003F6D44" w:rsidRDefault="004A2366" w:rsidP="003F6D44">
      <w:pPr>
        <w:spacing w:line="360" w:lineRule="auto"/>
        <w:jc w:val="both"/>
        <w:rPr>
          <w:rFonts w:ascii="Times New Roman" w:eastAsia="Calibri" w:hAnsi="Times New Roman"/>
        </w:rPr>
      </w:pPr>
      <w:r w:rsidRPr="003F6D44">
        <w:rPr>
          <w:rFonts w:ascii="Times New Roman" w:eastAsia="Calibri" w:hAnsi="Times New Roman"/>
        </w:rPr>
        <w:t xml:space="preserve">La scheda della Rete Oncologica Campana di ogni paziente deve essere chiusa con l’indicazione finale del GOM che è possibile scegliere tra i diversi tipi di completamento presenti in piattaforma ROC. Il case manager ha il ruolo di chiuderla e di compilare gli indicatori richiesti. </w:t>
      </w:r>
    </w:p>
    <w:p w:rsidR="004A2366" w:rsidRPr="003F6D44" w:rsidRDefault="004A2366" w:rsidP="003F6D44">
      <w:pPr>
        <w:spacing w:line="360" w:lineRule="auto"/>
        <w:jc w:val="both"/>
        <w:rPr>
          <w:rFonts w:ascii="Times New Roman" w:eastAsia="Calibri" w:hAnsi="Times New Roman"/>
        </w:rPr>
      </w:pPr>
      <w:r w:rsidRPr="003F6D44">
        <w:rPr>
          <w:rFonts w:ascii="Times New Roman" w:eastAsia="Calibri" w:hAnsi="Times New Roman"/>
        </w:rPr>
        <w:t>Aperta la schermata e selezionata la voce “chiusura” il case manager procede alla compilazione degli indicatori richiesti.</w:t>
      </w:r>
    </w:p>
    <w:p w:rsidR="004A2366" w:rsidRPr="003F6D44" w:rsidRDefault="004A2366" w:rsidP="003F6D44">
      <w:pPr>
        <w:spacing w:line="360" w:lineRule="auto"/>
        <w:jc w:val="both"/>
        <w:rPr>
          <w:rFonts w:ascii="Times New Roman" w:eastAsia="Calibri" w:hAnsi="Times New Roman"/>
        </w:rPr>
      </w:pPr>
      <w:r w:rsidRPr="003F6D44">
        <w:rPr>
          <w:rFonts w:ascii="Times New Roman" w:eastAsia="Calibri" w:hAnsi="Times New Roman"/>
          <w:b/>
        </w:rPr>
        <w:t>Visita GOM:</w:t>
      </w:r>
      <w:r w:rsidRPr="003F6D44">
        <w:rPr>
          <w:rFonts w:ascii="Times New Roman" w:eastAsia="Calibri" w:hAnsi="Times New Roman"/>
        </w:rPr>
        <w:t xml:space="preserve"> si intende la prima discussione multidisciplinare del paziente </w:t>
      </w:r>
    </w:p>
    <w:p w:rsidR="004A2366" w:rsidRPr="003F6D44" w:rsidRDefault="004A2366" w:rsidP="003F6D44">
      <w:pPr>
        <w:spacing w:line="360" w:lineRule="auto"/>
        <w:jc w:val="both"/>
        <w:rPr>
          <w:rFonts w:ascii="Times New Roman" w:eastAsia="Calibri" w:hAnsi="Times New Roman"/>
        </w:rPr>
      </w:pPr>
      <w:r w:rsidRPr="003F6D44">
        <w:rPr>
          <w:rFonts w:ascii="Times New Roman" w:eastAsia="Calibri" w:hAnsi="Times New Roman"/>
          <w:b/>
        </w:rPr>
        <w:t>Fine stadiazione:</w:t>
      </w:r>
      <w:r w:rsidRPr="003F6D44">
        <w:rPr>
          <w:rFonts w:ascii="Times New Roman" w:eastAsia="Calibri" w:hAnsi="Times New Roman"/>
        </w:rPr>
        <w:t xml:space="preserve"> si inserisce la data di esami diagnostici richiesti dal GOM, se non sono stati richiesti esami la data della fine stadiazione corrisponde alla data della visita GOM.</w:t>
      </w:r>
    </w:p>
    <w:p w:rsidR="004A2366" w:rsidRPr="003F6D44" w:rsidRDefault="004A2366" w:rsidP="003F6D44">
      <w:pPr>
        <w:spacing w:line="360" w:lineRule="auto"/>
        <w:jc w:val="both"/>
        <w:rPr>
          <w:rFonts w:ascii="Times New Roman" w:eastAsia="Calibri" w:hAnsi="Times New Roman"/>
        </w:rPr>
      </w:pPr>
      <w:r w:rsidRPr="003F6D44">
        <w:rPr>
          <w:rFonts w:ascii="Times New Roman" w:eastAsia="Calibri" w:hAnsi="Times New Roman"/>
          <w:b/>
        </w:rPr>
        <w:t>Intervento chirurgico:</w:t>
      </w:r>
      <w:r w:rsidRPr="003F6D44">
        <w:rPr>
          <w:rFonts w:ascii="Times New Roman" w:eastAsia="Calibri" w:hAnsi="Times New Roman"/>
        </w:rPr>
        <w:t xml:space="preserve"> è necessario compilarla solo con i pazienti con indicazione a chirurgia con la data dell’intervento.</w:t>
      </w:r>
    </w:p>
    <w:p w:rsidR="004A2366" w:rsidRPr="003F6D44" w:rsidRDefault="004A2366" w:rsidP="003F6D44">
      <w:pPr>
        <w:spacing w:line="360" w:lineRule="auto"/>
        <w:jc w:val="both"/>
        <w:rPr>
          <w:rFonts w:ascii="Times New Roman" w:eastAsia="Calibri" w:hAnsi="Times New Roman"/>
        </w:rPr>
      </w:pPr>
      <w:r w:rsidRPr="003F6D44">
        <w:rPr>
          <w:rFonts w:ascii="Times New Roman" w:eastAsia="Calibri" w:hAnsi="Times New Roman"/>
          <w:b/>
        </w:rPr>
        <w:t>Data completamento</w:t>
      </w:r>
      <w:r w:rsidRPr="003F6D44">
        <w:rPr>
          <w:rFonts w:ascii="Times New Roman" w:eastAsia="Calibri" w:hAnsi="Times New Roman"/>
        </w:rPr>
        <w:t xml:space="preserve">: è la data dell’ultima visita GOM dove è stata decisa l’indicazione terapeutica. </w:t>
      </w:r>
    </w:p>
    <w:p w:rsidR="004A2366" w:rsidRPr="003F6D44" w:rsidRDefault="004A2366" w:rsidP="003F6D44">
      <w:pPr>
        <w:spacing w:line="360" w:lineRule="auto"/>
        <w:jc w:val="both"/>
        <w:rPr>
          <w:rFonts w:ascii="Times New Roman" w:eastAsia="Calibri" w:hAnsi="Times New Roman"/>
        </w:rPr>
      </w:pPr>
      <w:r w:rsidRPr="003F6D44">
        <w:rPr>
          <w:rFonts w:ascii="Times New Roman" w:eastAsia="Calibri" w:hAnsi="Times New Roman"/>
          <w:b/>
        </w:rPr>
        <w:t>Tipi di completamento</w:t>
      </w:r>
      <w:r w:rsidRPr="003F6D44">
        <w:rPr>
          <w:rFonts w:ascii="Times New Roman" w:eastAsia="Calibri" w:hAnsi="Times New Roman"/>
        </w:rPr>
        <w:t xml:space="preserve">: bisogna selezionare l’indicazione data tra i campi della piattaforma. Tipi di completamento sono: </w:t>
      </w:r>
      <w:r w:rsidRPr="003F6D44">
        <w:rPr>
          <w:rFonts w:ascii="Times New Roman" w:eastAsia="Calibri" w:hAnsi="Times New Roman"/>
          <w:b/>
        </w:rPr>
        <w:t xml:space="preserve">Follow-up, Chemio, Radio, Chemio-Radio, Ormonoterapia, Immunoterapia, Target therapy, Chirurgia, Sorveglianza clinico-strumentale, Indicazione al percorso oncogenetico, Non indicazione al percorso oncogenetico, Terapia radiorecettoriale (PRRT) </w:t>
      </w:r>
      <w:r w:rsidRPr="003F6D44">
        <w:rPr>
          <w:rFonts w:ascii="Times New Roman" w:eastAsia="Calibri" w:hAnsi="Times New Roman"/>
        </w:rPr>
        <w:t>e</w:t>
      </w:r>
      <w:r w:rsidRPr="003F6D44">
        <w:rPr>
          <w:rFonts w:ascii="Times New Roman" w:eastAsia="Calibri" w:hAnsi="Times New Roman"/>
          <w:b/>
        </w:rPr>
        <w:t xml:space="preserve"> Ormonoterapia/Radioterapia</w:t>
      </w:r>
      <w:r w:rsidRPr="003F6D44">
        <w:rPr>
          <w:rFonts w:ascii="Times New Roman" w:eastAsia="Calibri" w:hAnsi="Times New Roman"/>
        </w:rPr>
        <w:t>.</w:t>
      </w:r>
    </w:p>
    <w:p w:rsidR="004A2366" w:rsidRPr="003F6D44" w:rsidRDefault="004A2366" w:rsidP="003F6D44">
      <w:pPr>
        <w:spacing w:line="360" w:lineRule="auto"/>
        <w:jc w:val="both"/>
        <w:rPr>
          <w:rFonts w:ascii="Times New Roman" w:eastAsia="Calibri" w:hAnsi="Times New Roman"/>
        </w:rPr>
      </w:pPr>
      <w:r w:rsidRPr="003F6D44">
        <w:rPr>
          <w:rFonts w:ascii="Times New Roman" w:eastAsia="Calibri" w:hAnsi="Times New Roman"/>
          <w:b/>
        </w:rPr>
        <w:t>Data di inizio terapia:</w:t>
      </w:r>
      <w:r w:rsidRPr="003F6D44">
        <w:rPr>
          <w:rFonts w:ascii="Times New Roman" w:eastAsia="Calibri" w:hAnsi="Times New Roman"/>
        </w:rPr>
        <w:t xml:space="preserve"> la data in cui i pazienti inizia il trattamento </w:t>
      </w:r>
    </w:p>
    <w:p w:rsidR="004A2366" w:rsidRPr="003F6D44" w:rsidRDefault="004A2366" w:rsidP="003F6D44">
      <w:pPr>
        <w:spacing w:line="360" w:lineRule="auto"/>
        <w:jc w:val="both"/>
        <w:rPr>
          <w:rFonts w:ascii="Times New Roman" w:eastAsia="Calibri" w:hAnsi="Times New Roman"/>
        </w:rPr>
      </w:pPr>
      <w:r w:rsidRPr="003F6D44">
        <w:rPr>
          <w:rFonts w:ascii="Times New Roman" w:eastAsia="Calibri" w:hAnsi="Times New Roman"/>
          <w:b/>
        </w:rPr>
        <w:t>Data decesso</w:t>
      </w:r>
      <w:r w:rsidRPr="003F6D44">
        <w:rPr>
          <w:rFonts w:ascii="Times New Roman" w:eastAsia="Calibri" w:hAnsi="Times New Roman"/>
        </w:rPr>
        <w:t>: la data del decesso del paziente avvenuta prima dell’indicazione del GOM.</w:t>
      </w:r>
    </w:p>
    <w:p w:rsidR="004A2366" w:rsidRPr="003F6D44" w:rsidRDefault="004A2366" w:rsidP="003F6D44">
      <w:pPr>
        <w:spacing w:line="360" w:lineRule="auto"/>
        <w:jc w:val="both"/>
        <w:rPr>
          <w:rFonts w:ascii="Times New Roman" w:eastAsia="Calibri" w:hAnsi="Times New Roman"/>
        </w:rPr>
      </w:pPr>
      <w:r w:rsidRPr="003F6D44">
        <w:rPr>
          <w:rFonts w:ascii="Times New Roman" w:eastAsia="Calibri" w:hAnsi="Times New Roman"/>
          <w:b/>
        </w:rPr>
        <w:t xml:space="preserve">Deviazioni rispetto alle Linee Guida: </w:t>
      </w:r>
      <w:r w:rsidRPr="003F6D44">
        <w:rPr>
          <w:rFonts w:ascii="Times New Roman" w:eastAsia="Calibri" w:hAnsi="Times New Roman"/>
        </w:rPr>
        <w:t xml:space="preserve">il GOM da indicazione che differisce dalle normali linee guida (es. per età avanzata, comorbilità ecc)  </w:t>
      </w:r>
    </w:p>
    <w:p w:rsidR="004A2366" w:rsidRPr="003F6D44" w:rsidRDefault="004A2366" w:rsidP="003F6D44">
      <w:pPr>
        <w:spacing w:line="360" w:lineRule="auto"/>
        <w:jc w:val="both"/>
        <w:rPr>
          <w:rFonts w:ascii="Times New Roman" w:eastAsia="Calibri" w:hAnsi="Times New Roman"/>
        </w:rPr>
      </w:pPr>
      <w:r w:rsidRPr="003F6D44">
        <w:rPr>
          <w:rFonts w:ascii="Times New Roman" w:eastAsia="Calibri" w:hAnsi="Times New Roman"/>
          <w:b/>
        </w:rPr>
        <w:t xml:space="preserve">Fuori Rete Regionale: </w:t>
      </w:r>
      <w:r w:rsidRPr="003F6D44">
        <w:rPr>
          <w:rFonts w:ascii="Times New Roman" w:eastAsia="Calibri" w:hAnsi="Times New Roman"/>
        </w:rPr>
        <w:t xml:space="preserve">il paziente vuole essere seguito extra-regione </w:t>
      </w:r>
    </w:p>
    <w:p w:rsidR="004A2366" w:rsidRPr="003F6D44" w:rsidRDefault="004A2366" w:rsidP="003F6D44">
      <w:pPr>
        <w:spacing w:line="360" w:lineRule="auto"/>
        <w:jc w:val="both"/>
        <w:rPr>
          <w:rFonts w:ascii="Times New Roman" w:hAnsi="Times New Roman"/>
        </w:rPr>
      </w:pPr>
      <w:r w:rsidRPr="003F6D44">
        <w:rPr>
          <w:rFonts w:ascii="Times New Roman" w:hAnsi="Times New Roman"/>
          <w:noProof/>
          <w:lang w:eastAsia="it-IT"/>
        </w:rPr>
        <w:drawing>
          <wp:inline distT="0" distB="0" distL="0" distR="0" wp14:anchorId="23464C68" wp14:editId="5AEDF956">
            <wp:extent cx="6120130" cy="4060825"/>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tura.JPG"/>
                    <pic:cNvPicPr/>
                  </pic:nvPicPr>
                  <pic:blipFill>
                    <a:blip r:embed="rId43">
                      <a:extLst>
                        <a:ext uri="{28A0092B-C50C-407E-A947-70E740481C1C}">
                          <a14:useLocalDpi xmlns:a14="http://schemas.microsoft.com/office/drawing/2010/main" val="0"/>
                        </a:ext>
                      </a:extLst>
                    </a:blip>
                    <a:stretch>
                      <a:fillRect/>
                    </a:stretch>
                  </pic:blipFill>
                  <pic:spPr>
                    <a:xfrm>
                      <a:off x="0" y="0"/>
                      <a:ext cx="6120130" cy="4060825"/>
                    </a:xfrm>
                    <a:prstGeom prst="rect">
                      <a:avLst/>
                    </a:prstGeom>
                  </pic:spPr>
                </pic:pic>
              </a:graphicData>
            </a:graphic>
          </wp:inline>
        </w:drawing>
      </w:r>
    </w:p>
    <w:p w:rsidR="004A2366" w:rsidRPr="003F6D44" w:rsidRDefault="004A2366" w:rsidP="003F6D44">
      <w:pPr>
        <w:spacing w:line="360" w:lineRule="auto"/>
        <w:jc w:val="both"/>
        <w:rPr>
          <w:rFonts w:ascii="Times New Roman" w:hAnsi="Times New Roman"/>
        </w:rPr>
      </w:pPr>
    </w:p>
    <w:p w:rsidR="004A2366" w:rsidRPr="003F6D44" w:rsidRDefault="004A2366" w:rsidP="003F6D44">
      <w:pPr>
        <w:spacing w:line="360" w:lineRule="auto"/>
        <w:jc w:val="both"/>
        <w:rPr>
          <w:rFonts w:ascii="Times New Roman" w:hAnsi="Times New Roman"/>
        </w:rPr>
      </w:pPr>
      <w:r w:rsidRPr="003F6D44">
        <w:rPr>
          <w:rFonts w:ascii="Times New Roman" w:eastAsia="Calibri" w:hAnsi="Times New Roman"/>
        </w:rPr>
        <w:t xml:space="preserve">Per chiudere la scheda dopo la compilazione degli indicatori di chiusura, è obbligatorio caricare nella Diagnosi di dimissione il referto della discussione GOM in formato pdf e solo dopo procedere alla chiusura della scheda.  </w:t>
      </w:r>
    </w:p>
    <w:p w:rsidR="004A2366" w:rsidRPr="003F6D44" w:rsidRDefault="004A2366" w:rsidP="003F6D44">
      <w:pPr>
        <w:pStyle w:val="Titolo2"/>
        <w:spacing w:line="360" w:lineRule="auto"/>
        <w:jc w:val="both"/>
        <w:rPr>
          <w:rFonts w:ascii="Times New Roman" w:hAnsi="Times New Roman" w:cs="Times New Roman"/>
          <w:bCs/>
          <w:sz w:val="24"/>
          <w:szCs w:val="24"/>
        </w:rPr>
      </w:pPr>
    </w:p>
    <w:p w:rsidR="004A2366" w:rsidRPr="003F6D44" w:rsidRDefault="004A2366" w:rsidP="003F6D44">
      <w:pPr>
        <w:keepNext/>
        <w:spacing w:line="360" w:lineRule="auto"/>
        <w:jc w:val="both"/>
        <w:outlineLvl w:val="1"/>
        <w:rPr>
          <w:rFonts w:ascii="Times New Roman" w:hAnsi="Times New Roman"/>
          <w:bCs/>
          <w:lang w:eastAsia="it-IT"/>
        </w:rPr>
      </w:pPr>
      <w:r w:rsidRPr="003F6D44">
        <w:rPr>
          <w:rFonts w:ascii="Times New Roman" w:hAnsi="Times New Roman"/>
          <w:b/>
          <w:bCs/>
          <w:lang w:eastAsia="it-IT"/>
        </w:rPr>
        <w:t>Continuità territoriale, Attivazione ADI attraverso la piattaforma ROC</w:t>
      </w:r>
    </w:p>
    <w:p w:rsidR="004A2366" w:rsidRPr="003F6D44" w:rsidRDefault="004A2366" w:rsidP="003F6D44">
      <w:pPr>
        <w:spacing w:line="360" w:lineRule="auto"/>
        <w:jc w:val="both"/>
        <w:rPr>
          <w:rFonts w:ascii="Times New Roman" w:eastAsia="Calibri" w:hAnsi="Times New Roman"/>
        </w:rPr>
      </w:pPr>
      <w:r w:rsidRPr="003F6D44">
        <w:rPr>
          <w:rFonts w:ascii="Times New Roman" w:eastAsia="Calibri" w:hAnsi="Times New Roman"/>
        </w:rPr>
        <w:t>Il case manager su indicazione medica può richiedere l’attivazione della continuità territoriale e dell’Assistenza Domiciliare tramite la piattaforma ROC utilizzando la scheda servizi. Tale richiesta può avvenire sia per pazienti ancora in trattamento oncologico che per paziento non più in cura</w:t>
      </w:r>
    </w:p>
    <w:p w:rsidR="004A2366" w:rsidRPr="003F6D44" w:rsidRDefault="004A2366" w:rsidP="003F6D44">
      <w:pPr>
        <w:spacing w:line="360" w:lineRule="auto"/>
        <w:jc w:val="both"/>
        <w:rPr>
          <w:rFonts w:ascii="Times New Roman" w:eastAsia="Calibri" w:hAnsi="Times New Roman"/>
        </w:rPr>
      </w:pPr>
      <w:r w:rsidRPr="003F6D44">
        <w:rPr>
          <w:rFonts w:ascii="Times New Roman" w:eastAsia="Calibri" w:hAnsi="Times New Roman"/>
        </w:rPr>
        <w:t xml:space="preserve">In accordo con le sette ASL è stata inserita un’unica scheda dei servizi, che include le informazioni cliniche del paziente e le prestazioni richieste, così da facilitare e migliorare la presa in carico del Territorio. </w:t>
      </w:r>
    </w:p>
    <w:p w:rsidR="004A2366" w:rsidRPr="003F6D44" w:rsidRDefault="004A2366" w:rsidP="003F6D44">
      <w:pPr>
        <w:spacing w:line="360" w:lineRule="auto"/>
        <w:jc w:val="both"/>
        <w:rPr>
          <w:rFonts w:ascii="Times New Roman" w:eastAsia="Calibri" w:hAnsi="Times New Roman"/>
        </w:rPr>
      </w:pPr>
      <w:r w:rsidRPr="003F6D44">
        <w:rPr>
          <w:rFonts w:ascii="Times New Roman" w:eastAsia="Calibri" w:hAnsi="Times New Roman"/>
        </w:rPr>
        <w:t>In piattaforma c’è anche la possibilità di richiedere la fornitura di ausili (letto articolato, materasso antidecubito, cought assist, ventilazione meccanica a lungo termine deambulatore e comunicatore). Ai fini della richiesta è obbligatorio allegare la relazione clinica del GOM e compilare in modo completo la scheda di seguito riportata in modalità informatizzata.</w:t>
      </w:r>
    </w:p>
    <w:p w:rsidR="004A2366" w:rsidRDefault="004A2366" w:rsidP="003F6D44">
      <w:pPr>
        <w:spacing w:line="360" w:lineRule="auto"/>
        <w:jc w:val="both"/>
        <w:rPr>
          <w:rFonts w:ascii="Times New Roman" w:eastAsia="Calibri" w:hAnsi="Times New Roman"/>
        </w:rPr>
      </w:pPr>
      <w:r w:rsidRPr="003F6D44">
        <w:rPr>
          <w:rFonts w:ascii="Times New Roman" w:eastAsia="Calibri" w:hAnsi="Times New Roman"/>
        </w:rPr>
        <w:t>Tramite la piattaforma il GOM richiedente ha la possibilità di verificare la effettiva avvenuta presa in carico dal Territorio.  Il MMG inviante al GOM riceverà informativa attraverso la stessa piattaforma.</w:t>
      </w:r>
    </w:p>
    <w:p w:rsidR="002F603D" w:rsidRDefault="002F603D" w:rsidP="003F6D44">
      <w:pPr>
        <w:spacing w:line="360" w:lineRule="auto"/>
        <w:jc w:val="both"/>
        <w:rPr>
          <w:rFonts w:ascii="Times New Roman" w:eastAsia="Calibri" w:hAnsi="Times New Roman"/>
        </w:rPr>
      </w:pPr>
    </w:p>
    <w:p w:rsidR="002F603D" w:rsidRPr="003F6D44" w:rsidRDefault="002F603D" w:rsidP="003F6D44">
      <w:pPr>
        <w:spacing w:line="360" w:lineRule="auto"/>
        <w:jc w:val="both"/>
        <w:rPr>
          <w:rFonts w:ascii="Times New Roman" w:eastAsia="Calibri" w:hAnsi="Times New Roman"/>
        </w:rPr>
      </w:pPr>
    </w:p>
    <w:p w:rsidR="004A2366" w:rsidRPr="003F6D44" w:rsidRDefault="002F603D" w:rsidP="003F6D44">
      <w:pPr>
        <w:spacing w:line="360" w:lineRule="auto"/>
        <w:jc w:val="both"/>
        <w:rPr>
          <w:rFonts w:ascii="Times New Roman" w:eastAsia="Calibri" w:hAnsi="Times New Roman"/>
        </w:rPr>
      </w:pPr>
      <w:r w:rsidRPr="003F6D44">
        <w:rPr>
          <w:rFonts w:ascii="Times New Roman" w:eastAsia="Calibri" w:hAnsi="Times New Roman"/>
          <w:noProof/>
          <w:lang w:eastAsia="it-IT"/>
        </w:rPr>
        <w:drawing>
          <wp:inline distT="0" distB="0" distL="0" distR="0" wp14:anchorId="1C8D8E8B" wp14:editId="7DA2228A">
            <wp:extent cx="5143500" cy="2552493"/>
            <wp:effectExtent l="0" t="0" r="0" b="635"/>
            <wp:docPr id="45" name="Immagine 45"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e.derrico\Desktop\Cattur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94658" cy="2577880"/>
                    </a:xfrm>
                    <a:prstGeom prst="rect">
                      <a:avLst/>
                    </a:prstGeom>
                    <a:noFill/>
                    <a:ln>
                      <a:noFill/>
                    </a:ln>
                  </pic:spPr>
                </pic:pic>
              </a:graphicData>
            </a:graphic>
          </wp:inline>
        </w:drawing>
      </w:r>
    </w:p>
    <w:p w:rsidR="004A2366" w:rsidRPr="003F6D44" w:rsidRDefault="004A2366" w:rsidP="003F6D44">
      <w:pPr>
        <w:spacing w:line="360" w:lineRule="auto"/>
        <w:jc w:val="both"/>
        <w:rPr>
          <w:rFonts w:ascii="Times New Roman" w:hAnsi="Times New Roman"/>
          <w:noProof/>
          <w:lang w:eastAsia="it-IT"/>
        </w:rPr>
      </w:pPr>
      <w:r w:rsidRPr="003F6D44">
        <w:rPr>
          <w:rFonts w:ascii="Times New Roman" w:hAnsi="Times New Roman"/>
          <w:noProof/>
          <w:lang w:eastAsia="it-IT"/>
        </w:rPr>
        <w:drawing>
          <wp:inline distT="0" distB="0" distL="0" distR="0" wp14:anchorId="79383C4D" wp14:editId="7D6E5E57">
            <wp:extent cx="5238750" cy="3254375"/>
            <wp:effectExtent l="0" t="0" r="0" b="317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3953" cy="3263819"/>
                    </a:xfrm>
                    <a:prstGeom prst="rect">
                      <a:avLst/>
                    </a:prstGeom>
                  </pic:spPr>
                </pic:pic>
              </a:graphicData>
            </a:graphic>
          </wp:inline>
        </w:drawing>
      </w:r>
      <w:r w:rsidRPr="003F6D44">
        <w:rPr>
          <w:rFonts w:ascii="Times New Roman" w:hAnsi="Times New Roman"/>
          <w:noProof/>
          <w:lang w:eastAsia="it-IT"/>
        </w:rPr>
        <w:drawing>
          <wp:inline distT="0" distB="0" distL="0" distR="0" wp14:anchorId="0E261FED" wp14:editId="67A3855C">
            <wp:extent cx="4733925" cy="2981325"/>
            <wp:effectExtent l="0" t="0" r="9525" b="952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39699" cy="2984961"/>
                    </a:xfrm>
                    <a:prstGeom prst="rect">
                      <a:avLst/>
                    </a:prstGeom>
                  </pic:spPr>
                </pic:pic>
              </a:graphicData>
            </a:graphic>
          </wp:inline>
        </w:drawing>
      </w:r>
    </w:p>
    <w:p w:rsidR="004A2366" w:rsidRPr="003F6D44" w:rsidRDefault="004A2366" w:rsidP="003F6D44">
      <w:pPr>
        <w:spacing w:line="360" w:lineRule="auto"/>
        <w:jc w:val="both"/>
        <w:rPr>
          <w:rFonts w:ascii="Times New Roman" w:eastAsia="Calibri" w:hAnsi="Times New Roman"/>
        </w:rPr>
      </w:pPr>
    </w:p>
    <w:p w:rsidR="004A2366" w:rsidRPr="003F6D44" w:rsidRDefault="004A2366" w:rsidP="003F6D44">
      <w:pPr>
        <w:tabs>
          <w:tab w:val="left" w:pos="1055"/>
        </w:tabs>
        <w:spacing w:line="360" w:lineRule="auto"/>
        <w:jc w:val="both"/>
        <w:rPr>
          <w:rFonts w:ascii="Times New Roman" w:hAnsi="Times New Roman"/>
          <w:b/>
        </w:rPr>
      </w:pPr>
      <w:r w:rsidRPr="003F6D44">
        <w:rPr>
          <w:rFonts w:ascii="Times New Roman" w:hAnsi="Times New Roman"/>
          <w:noProof/>
          <w:lang w:eastAsia="it-IT"/>
        </w:rPr>
        <w:drawing>
          <wp:inline distT="0" distB="0" distL="0" distR="0" wp14:anchorId="07401874" wp14:editId="40F6E18C">
            <wp:extent cx="4695825" cy="3635635"/>
            <wp:effectExtent l="0" t="0" r="0" b="317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00709" cy="3639416"/>
                    </a:xfrm>
                    <a:prstGeom prst="rect">
                      <a:avLst/>
                    </a:prstGeom>
                  </pic:spPr>
                </pic:pic>
              </a:graphicData>
            </a:graphic>
          </wp:inline>
        </w:drawing>
      </w:r>
      <w:r w:rsidRPr="003F6D44">
        <w:rPr>
          <w:rFonts w:ascii="Times New Roman" w:hAnsi="Times New Roman"/>
          <w:noProof/>
          <w:lang w:eastAsia="it-IT"/>
        </w:rPr>
        <w:drawing>
          <wp:inline distT="0" distB="0" distL="0" distR="0" wp14:anchorId="5A3795AB" wp14:editId="2175AAD9">
            <wp:extent cx="4743450" cy="2934962"/>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58991" cy="2944578"/>
                    </a:xfrm>
                    <a:prstGeom prst="rect">
                      <a:avLst/>
                    </a:prstGeom>
                  </pic:spPr>
                </pic:pic>
              </a:graphicData>
            </a:graphic>
          </wp:inline>
        </w:drawing>
      </w:r>
    </w:p>
    <w:p w:rsidR="004A2366" w:rsidRPr="003F6D44" w:rsidRDefault="004A2366" w:rsidP="003F6D44">
      <w:pPr>
        <w:spacing w:line="360" w:lineRule="auto"/>
        <w:jc w:val="both"/>
        <w:rPr>
          <w:rFonts w:ascii="Times New Roman" w:hAnsi="Times New Roman"/>
          <w:lang w:eastAsia="it-IT"/>
        </w:rPr>
      </w:pPr>
      <w:r w:rsidRPr="003F6D44">
        <w:rPr>
          <w:rFonts w:ascii="Times New Roman" w:hAnsi="Times New Roman"/>
          <w:noProof/>
          <w:lang w:eastAsia="it-IT"/>
        </w:rPr>
        <w:drawing>
          <wp:inline distT="0" distB="0" distL="0" distR="0" wp14:anchorId="3A28059F" wp14:editId="2C6C86D8">
            <wp:extent cx="4791075" cy="1124943"/>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33836" cy="1134983"/>
                    </a:xfrm>
                    <a:prstGeom prst="rect">
                      <a:avLst/>
                    </a:prstGeom>
                  </pic:spPr>
                </pic:pic>
              </a:graphicData>
            </a:graphic>
          </wp:inline>
        </w:drawing>
      </w:r>
    </w:p>
    <w:p w:rsidR="004A2366" w:rsidRPr="003F6D44" w:rsidRDefault="004A2366" w:rsidP="003F6D44">
      <w:pPr>
        <w:tabs>
          <w:tab w:val="left" w:pos="1055"/>
        </w:tabs>
        <w:spacing w:line="360" w:lineRule="auto"/>
        <w:jc w:val="both"/>
        <w:rPr>
          <w:rFonts w:ascii="Times New Roman" w:hAnsi="Times New Roman"/>
          <w:b/>
        </w:rPr>
      </w:pPr>
    </w:p>
    <w:p w:rsidR="004A2366" w:rsidRPr="003F6D44" w:rsidRDefault="004A2366" w:rsidP="003F6D44">
      <w:pPr>
        <w:tabs>
          <w:tab w:val="left" w:pos="1055"/>
        </w:tabs>
        <w:spacing w:line="360" w:lineRule="auto"/>
        <w:jc w:val="both"/>
        <w:rPr>
          <w:rFonts w:ascii="Times New Roman" w:hAnsi="Times New Roman"/>
          <w:b/>
        </w:rPr>
      </w:pPr>
    </w:p>
    <w:p w:rsidR="004A2366" w:rsidRPr="003F6D44" w:rsidRDefault="004A2366" w:rsidP="003F6D44">
      <w:pPr>
        <w:keepNext/>
        <w:spacing w:line="360" w:lineRule="auto"/>
        <w:jc w:val="both"/>
        <w:rPr>
          <w:rFonts w:ascii="Times New Roman" w:hAnsi="Times New Roman"/>
        </w:rPr>
      </w:pPr>
    </w:p>
    <w:p w:rsidR="004A2366" w:rsidRPr="003F6D44" w:rsidRDefault="004A2366" w:rsidP="003F6D44">
      <w:pPr>
        <w:keepNext/>
        <w:spacing w:line="360" w:lineRule="auto"/>
        <w:jc w:val="both"/>
        <w:rPr>
          <w:rFonts w:ascii="Times New Roman" w:hAnsi="Times New Roman"/>
          <w:b/>
        </w:rPr>
      </w:pPr>
      <w:r w:rsidRPr="003F6D44">
        <w:rPr>
          <w:rFonts w:ascii="Times New Roman" w:hAnsi="Times New Roman"/>
          <w:b/>
        </w:rPr>
        <w:t>Rete Cardioncologca (CardioROC)</w:t>
      </w:r>
    </w:p>
    <w:p w:rsidR="004A2366" w:rsidRPr="003F6D44" w:rsidRDefault="004A2366" w:rsidP="003F6D44">
      <w:pPr>
        <w:pBdr>
          <w:top w:val="nil"/>
          <w:left w:val="nil"/>
          <w:bottom w:val="nil"/>
          <w:right w:val="nil"/>
          <w:between w:val="nil"/>
        </w:pBdr>
        <w:spacing w:before="132" w:line="360" w:lineRule="auto"/>
        <w:ind w:left="293" w:right="333"/>
        <w:jc w:val="both"/>
        <w:rPr>
          <w:rFonts w:ascii="Times New Roman" w:hAnsi="Times New Roman"/>
          <w:color w:val="000000"/>
        </w:rPr>
      </w:pPr>
      <w:r w:rsidRPr="003F6D44">
        <w:rPr>
          <w:rFonts w:ascii="Times New Roman" w:hAnsi="Times New Roman"/>
          <w:color w:val="000000"/>
        </w:rPr>
        <w:t>Nella piattaforma ROC è stato attivato il servizio di valutazione cardiologica per i pazienti oncologici a grave rischio cardiologico.</w:t>
      </w:r>
    </w:p>
    <w:p w:rsidR="004A2366" w:rsidRPr="003F6D44" w:rsidRDefault="004A2366" w:rsidP="003F6D44">
      <w:pPr>
        <w:pBdr>
          <w:top w:val="nil"/>
          <w:left w:val="nil"/>
          <w:bottom w:val="nil"/>
          <w:right w:val="nil"/>
          <w:between w:val="nil"/>
        </w:pBdr>
        <w:spacing w:line="360" w:lineRule="auto"/>
        <w:ind w:left="293" w:right="329"/>
        <w:jc w:val="both"/>
        <w:rPr>
          <w:rFonts w:ascii="Times New Roman" w:hAnsi="Times New Roman"/>
          <w:color w:val="000000"/>
        </w:rPr>
      </w:pPr>
      <w:r w:rsidRPr="003F6D44">
        <w:rPr>
          <w:rFonts w:ascii="Times New Roman" w:hAnsi="Times New Roman"/>
          <w:color w:val="000000"/>
        </w:rPr>
        <w:t>La rete di cardiologi ha ricevuto le credenziali ROC per accedere al nuovo servizio di valutazione. La richiesta di consulenza cardiologica può essere inoltrata dal medico oncologo o case manager del GOM di interesse tramite la compilazione di una scheda (</w:t>
      </w:r>
      <w:r w:rsidRPr="003F6D44">
        <w:rPr>
          <w:rFonts w:ascii="Times New Roman" w:hAnsi="Times New Roman"/>
          <w:b/>
          <w:color w:val="000000"/>
        </w:rPr>
        <w:t>Figura 2</w:t>
      </w:r>
      <w:r w:rsidRPr="003F6D44">
        <w:rPr>
          <w:rFonts w:ascii="Times New Roman" w:hAnsi="Times New Roman"/>
          <w:color w:val="000000"/>
        </w:rPr>
        <w:t>). Possono essere segnalati solo i pazienti con importanti fattori di rischio cardiovascolare o precedenti eventi cardiovascolari che possono condizionare la scelta del trattamento oncologico.</w:t>
      </w:r>
    </w:p>
    <w:p w:rsidR="004A2366" w:rsidRPr="003F6D44" w:rsidRDefault="004A2366" w:rsidP="003F6D44">
      <w:pPr>
        <w:pBdr>
          <w:top w:val="nil"/>
          <w:left w:val="nil"/>
          <w:bottom w:val="nil"/>
          <w:right w:val="nil"/>
          <w:between w:val="nil"/>
        </w:pBdr>
        <w:spacing w:before="2" w:line="360" w:lineRule="auto"/>
        <w:ind w:left="293" w:right="350"/>
        <w:jc w:val="both"/>
        <w:rPr>
          <w:rFonts w:ascii="Times New Roman" w:hAnsi="Times New Roman"/>
          <w:color w:val="000000"/>
        </w:rPr>
      </w:pPr>
      <w:r w:rsidRPr="003F6D44">
        <w:rPr>
          <w:rFonts w:ascii="Times New Roman" w:hAnsi="Times New Roman"/>
          <w:color w:val="000000"/>
        </w:rPr>
        <w:t>Il cardiologo prenderà in carico la scheda del paziente GOM entro sette giorni dalla segnalazione e procederà al consulto cardiologico, compilando la specifica scheda di presa in carico e allegando la propria relazione (</w:t>
      </w:r>
      <w:r w:rsidRPr="003F6D44">
        <w:rPr>
          <w:rFonts w:ascii="Times New Roman" w:hAnsi="Times New Roman"/>
          <w:b/>
          <w:color w:val="000000"/>
        </w:rPr>
        <w:t>Figura 3</w:t>
      </w:r>
      <w:r w:rsidRPr="003F6D44">
        <w:rPr>
          <w:rFonts w:ascii="Times New Roman" w:hAnsi="Times New Roman"/>
          <w:color w:val="000000"/>
        </w:rPr>
        <w:t>).</w:t>
      </w:r>
    </w:p>
    <w:p w:rsidR="004A2366" w:rsidRPr="003F6D44" w:rsidRDefault="004A2366" w:rsidP="003F6D44">
      <w:pPr>
        <w:pBdr>
          <w:top w:val="nil"/>
          <w:left w:val="nil"/>
          <w:bottom w:val="nil"/>
          <w:right w:val="nil"/>
          <w:between w:val="nil"/>
        </w:pBdr>
        <w:spacing w:line="360" w:lineRule="auto"/>
        <w:jc w:val="both"/>
        <w:rPr>
          <w:rFonts w:ascii="Times New Roman" w:hAnsi="Times New Roman"/>
          <w:color w:val="000000"/>
        </w:rPr>
      </w:pPr>
    </w:p>
    <w:p w:rsidR="004A2366" w:rsidRPr="003F6D44" w:rsidRDefault="004A2366" w:rsidP="003F6D44">
      <w:pPr>
        <w:pBdr>
          <w:top w:val="nil"/>
          <w:left w:val="nil"/>
          <w:bottom w:val="nil"/>
          <w:right w:val="nil"/>
          <w:between w:val="nil"/>
        </w:pBdr>
        <w:spacing w:before="2" w:line="360" w:lineRule="auto"/>
        <w:jc w:val="both"/>
        <w:rPr>
          <w:rFonts w:ascii="Times New Roman" w:hAnsi="Times New Roman"/>
          <w:color w:val="000000"/>
        </w:rPr>
      </w:pPr>
      <w:r w:rsidRPr="003F6D44">
        <w:rPr>
          <w:rFonts w:ascii="Times New Roman" w:hAnsi="Times New Roman"/>
          <w:noProof/>
          <w:lang w:eastAsia="it-IT"/>
        </w:rPr>
        <w:drawing>
          <wp:anchor distT="0" distB="0" distL="0" distR="0" simplePos="0" relativeHeight="251681280" behindDoc="0" locked="0" layoutInCell="1" hidden="0" allowOverlap="1" wp14:anchorId="5A7DDD64" wp14:editId="29A325C3">
            <wp:simplePos x="0" y="0"/>
            <wp:positionH relativeFrom="column">
              <wp:posOffset>41275</wp:posOffset>
            </wp:positionH>
            <wp:positionV relativeFrom="paragraph">
              <wp:posOffset>175895</wp:posOffset>
            </wp:positionV>
            <wp:extent cx="4666615" cy="3933825"/>
            <wp:effectExtent l="0" t="0" r="0" b="0"/>
            <wp:wrapTopAndBottom distT="0" dist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0"/>
                    <a:srcRect/>
                    <a:stretch>
                      <a:fillRect/>
                    </a:stretch>
                  </pic:blipFill>
                  <pic:spPr>
                    <a:xfrm>
                      <a:off x="0" y="0"/>
                      <a:ext cx="4666615" cy="3933825"/>
                    </a:xfrm>
                    <a:prstGeom prst="rect">
                      <a:avLst/>
                    </a:prstGeom>
                    <a:ln/>
                  </pic:spPr>
                </pic:pic>
              </a:graphicData>
            </a:graphic>
          </wp:anchor>
        </w:drawing>
      </w:r>
    </w:p>
    <w:p w:rsidR="004A2366" w:rsidRPr="003F6D44" w:rsidRDefault="004A2366" w:rsidP="003F6D44">
      <w:pPr>
        <w:pBdr>
          <w:top w:val="nil"/>
          <w:left w:val="nil"/>
          <w:bottom w:val="nil"/>
          <w:right w:val="nil"/>
          <w:between w:val="nil"/>
        </w:pBdr>
        <w:spacing w:line="360" w:lineRule="auto"/>
        <w:ind w:right="329"/>
        <w:jc w:val="both"/>
        <w:rPr>
          <w:rFonts w:ascii="Times New Roman" w:hAnsi="Times New Roman"/>
          <w:b/>
          <w:color w:val="000000"/>
        </w:rPr>
      </w:pPr>
      <w:r w:rsidRPr="003F6D44">
        <w:rPr>
          <w:rFonts w:ascii="Times New Roman" w:hAnsi="Times New Roman"/>
          <w:b/>
          <w:color w:val="000000"/>
        </w:rPr>
        <w:t>Figura 2</w:t>
      </w:r>
    </w:p>
    <w:p w:rsidR="004A2366" w:rsidRPr="003F6D44" w:rsidRDefault="004A2366" w:rsidP="003F6D44">
      <w:pPr>
        <w:pBdr>
          <w:top w:val="nil"/>
          <w:left w:val="nil"/>
          <w:bottom w:val="nil"/>
          <w:right w:val="nil"/>
          <w:between w:val="nil"/>
        </w:pBdr>
        <w:spacing w:line="360" w:lineRule="auto"/>
        <w:ind w:left="293" w:right="329"/>
        <w:jc w:val="both"/>
        <w:rPr>
          <w:rFonts w:ascii="Times New Roman" w:hAnsi="Times New Roman"/>
          <w:color w:val="000000"/>
        </w:rPr>
      </w:pPr>
      <w:r w:rsidRPr="003F6D44">
        <w:rPr>
          <w:rFonts w:ascii="Times New Roman" w:hAnsi="Times New Roman"/>
          <w:noProof/>
          <w:color w:val="000000"/>
          <w:lang w:eastAsia="it-IT"/>
        </w:rPr>
        <w:drawing>
          <wp:inline distT="0" distB="0" distL="0" distR="0" wp14:anchorId="72EC7AE9" wp14:editId="75342B03">
            <wp:extent cx="4584485" cy="4180257"/>
            <wp:effectExtent l="0" t="0" r="0" b="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1"/>
                    <a:srcRect/>
                    <a:stretch>
                      <a:fillRect/>
                    </a:stretch>
                  </pic:blipFill>
                  <pic:spPr>
                    <a:xfrm>
                      <a:off x="0" y="0"/>
                      <a:ext cx="4584485" cy="4180257"/>
                    </a:xfrm>
                    <a:prstGeom prst="rect">
                      <a:avLst/>
                    </a:prstGeom>
                    <a:ln/>
                  </pic:spPr>
                </pic:pic>
              </a:graphicData>
            </a:graphic>
          </wp:inline>
        </w:drawing>
      </w:r>
    </w:p>
    <w:p w:rsidR="004A2366" w:rsidRPr="003F6D44" w:rsidRDefault="004A2366" w:rsidP="003F6D44">
      <w:pPr>
        <w:pBdr>
          <w:top w:val="nil"/>
          <w:left w:val="nil"/>
          <w:bottom w:val="nil"/>
          <w:right w:val="nil"/>
          <w:between w:val="nil"/>
        </w:pBdr>
        <w:spacing w:line="360" w:lineRule="auto"/>
        <w:ind w:left="293" w:right="329"/>
        <w:jc w:val="both"/>
        <w:rPr>
          <w:rFonts w:ascii="Times New Roman" w:hAnsi="Times New Roman"/>
          <w:b/>
          <w:color w:val="000000"/>
        </w:rPr>
      </w:pPr>
      <w:r w:rsidRPr="003F6D44">
        <w:rPr>
          <w:rFonts w:ascii="Times New Roman" w:hAnsi="Times New Roman"/>
          <w:b/>
          <w:color w:val="000000"/>
        </w:rPr>
        <w:t>Figura 3</w:t>
      </w:r>
    </w:p>
    <w:p w:rsidR="004A2366" w:rsidRPr="003F6D44" w:rsidRDefault="004A2366" w:rsidP="003F6D44">
      <w:pPr>
        <w:tabs>
          <w:tab w:val="left" w:pos="1055"/>
        </w:tabs>
        <w:spacing w:line="360" w:lineRule="auto"/>
        <w:jc w:val="both"/>
        <w:rPr>
          <w:rFonts w:ascii="Times New Roman" w:hAnsi="Times New Roman"/>
          <w:b/>
        </w:rPr>
      </w:pPr>
    </w:p>
    <w:p w:rsidR="004A2366" w:rsidRPr="003F6D44" w:rsidRDefault="004A2366" w:rsidP="003F6D44">
      <w:pPr>
        <w:spacing w:after="160" w:line="360" w:lineRule="auto"/>
        <w:jc w:val="both"/>
        <w:rPr>
          <w:rFonts w:ascii="Times New Roman" w:eastAsia="Calibri" w:hAnsi="Times New Roman"/>
          <w:b/>
        </w:rPr>
      </w:pPr>
      <w:r w:rsidRPr="003F6D44">
        <w:rPr>
          <w:rFonts w:ascii="Times New Roman" w:eastAsia="Calibri" w:hAnsi="Times New Roman"/>
          <w:b/>
        </w:rPr>
        <w:t xml:space="preserve">Valutazione per Trial Clinico </w:t>
      </w:r>
    </w:p>
    <w:p w:rsidR="004A2366" w:rsidRPr="003F6D44" w:rsidRDefault="004A2366" w:rsidP="003F6D44">
      <w:pPr>
        <w:tabs>
          <w:tab w:val="left" w:pos="1134"/>
        </w:tabs>
        <w:spacing w:line="360" w:lineRule="auto"/>
        <w:ind w:right="-1"/>
        <w:jc w:val="both"/>
        <w:rPr>
          <w:rFonts w:ascii="Times New Roman" w:hAnsi="Times New Roman"/>
          <w:bCs/>
          <w:lang w:eastAsia="it-IT"/>
        </w:rPr>
      </w:pPr>
      <w:r w:rsidRPr="003F6D44">
        <w:rPr>
          <w:rFonts w:ascii="Times New Roman" w:hAnsi="Times New Roman"/>
          <w:bCs/>
          <w:lang w:eastAsia="it-IT"/>
        </w:rPr>
        <w:t>Tra gli obiettivi della Rete Oncologica Campana c’è quello di favorire l’inserimento dei pazienti in studi clinici e promuovere in modo sinergico la ricerca e innovazione in campo oncologico e per questo motivo che la piattaforma è stato inserito altro servizio:</w:t>
      </w:r>
      <w:r w:rsidRPr="003F6D44">
        <w:rPr>
          <w:rFonts w:ascii="Times New Roman" w:hAnsi="Times New Roman"/>
          <w:lang w:val="x-none" w:eastAsia="it-IT"/>
        </w:rPr>
        <w:t xml:space="preserve"> </w:t>
      </w:r>
      <w:r w:rsidRPr="003F6D44">
        <w:rPr>
          <w:rFonts w:ascii="Times New Roman" w:hAnsi="Times New Roman"/>
          <w:b/>
          <w:bCs/>
          <w:i/>
          <w:lang w:eastAsia="it-IT"/>
        </w:rPr>
        <w:t>Trial Clinico</w:t>
      </w:r>
      <w:r w:rsidRPr="003F6D44">
        <w:rPr>
          <w:rFonts w:ascii="Times New Roman" w:hAnsi="Times New Roman"/>
          <w:bCs/>
          <w:lang w:eastAsia="it-IT"/>
        </w:rPr>
        <w:t>.</w:t>
      </w:r>
    </w:p>
    <w:p w:rsidR="004A2366" w:rsidRPr="003F6D44" w:rsidRDefault="004A2366" w:rsidP="003F6D44">
      <w:pPr>
        <w:tabs>
          <w:tab w:val="left" w:pos="1134"/>
        </w:tabs>
        <w:spacing w:line="360" w:lineRule="auto"/>
        <w:ind w:right="-1"/>
        <w:jc w:val="both"/>
        <w:rPr>
          <w:rFonts w:ascii="Times New Roman" w:hAnsi="Times New Roman"/>
          <w:bCs/>
          <w:lang w:eastAsia="it-IT"/>
        </w:rPr>
      </w:pPr>
      <w:r w:rsidRPr="003F6D44">
        <w:rPr>
          <w:rFonts w:ascii="Times New Roman" w:hAnsi="Times New Roman"/>
          <w:bCs/>
          <w:lang w:eastAsia="it-IT"/>
        </w:rPr>
        <w:t>I pazienti che devono essere valutati per una terapia sperimentale, avendo dato consenso a questa valutazione, vengono inviati da qualsiasi Gruppo Oncologico Multidisciplinare (GOM) ai GOM degli altri centri per la stessa patologia per essere valutati per una terapia sperimentale (incluso studi clinici di fase I).  La richiesta giunge contemporaneamente a tutti gli altri GOM della patologia e ai centri di fase 1 aggiunti nel sistema. I GOM e i centri di fase 1 potranno prendere in carico la richiesta per valutare i criteri per l’arruolamento.  Questa fase non dovrà superare i 5 giorni. Se il paziente non è arruolabile per i criteri di inclusione la richiesta viene rimessa in rete per eventuali altri protocolli di altri GOM utilizzando il tasto rimetti in rete.</w:t>
      </w:r>
    </w:p>
    <w:p w:rsidR="004A2366" w:rsidRPr="003F6D44" w:rsidRDefault="004A2366" w:rsidP="003F6D44">
      <w:pPr>
        <w:tabs>
          <w:tab w:val="left" w:pos="1134"/>
        </w:tabs>
        <w:spacing w:line="360" w:lineRule="auto"/>
        <w:ind w:right="-1"/>
        <w:jc w:val="both"/>
        <w:rPr>
          <w:rFonts w:ascii="Times New Roman" w:hAnsi="Times New Roman"/>
          <w:bCs/>
          <w:lang w:eastAsia="it-IT"/>
        </w:rPr>
      </w:pPr>
      <w:r w:rsidRPr="003F6D44">
        <w:rPr>
          <w:rFonts w:ascii="Times New Roman" w:hAnsi="Times New Roman"/>
          <w:bCs/>
          <w:lang w:eastAsia="it-IT"/>
        </w:rPr>
        <w:t xml:space="preserve">La richiesta del GOM avviene con la compilazione di una scheda di segnalazione ed allegando il verbale del GOM. </w:t>
      </w:r>
    </w:p>
    <w:p w:rsidR="004A2366" w:rsidRPr="003F6D44" w:rsidRDefault="004A2366" w:rsidP="003F6D44">
      <w:pPr>
        <w:tabs>
          <w:tab w:val="left" w:pos="1134"/>
        </w:tabs>
        <w:spacing w:line="360" w:lineRule="auto"/>
        <w:ind w:right="-1"/>
        <w:jc w:val="both"/>
        <w:rPr>
          <w:rFonts w:ascii="Times New Roman" w:hAnsi="Times New Roman"/>
          <w:bCs/>
          <w:lang w:eastAsia="it-IT"/>
        </w:rPr>
      </w:pPr>
      <w:r w:rsidRPr="003F6D44">
        <w:rPr>
          <w:rFonts w:ascii="Times New Roman" w:hAnsi="Times New Roman"/>
          <w:bCs/>
          <w:lang w:eastAsia="it-IT"/>
        </w:rPr>
        <w:t>Nella scheda i campi richiesti sono:</w:t>
      </w:r>
    </w:p>
    <w:p w:rsidR="004A2366" w:rsidRPr="003F6D44" w:rsidRDefault="004A2366" w:rsidP="003F6D44">
      <w:pPr>
        <w:numPr>
          <w:ilvl w:val="0"/>
          <w:numId w:val="18"/>
        </w:numPr>
        <w:tabs>
          <w:tab w:val="left" w:pos="1134"/>
        </w:tabs>
        <w:spacing w:after="160" w:line="360" w:lineRule="auto"/>
        <w:ind w:right="-1"/>
        <w:jc w:val="both"/>
        <w:rPr>
          <w:rFonts w:ascii="Times New Roman" w:hAnsi="Times New Roman"/>
          <w:b/>
          <w:lang w:eastAsia="it-IT"/>
        </w:rPr>
      </w:pPr>
      <w:r w:rsidRPr="003F6D44">
        <w:rPr>
          <w:rFonts w:ascii="Times New Roman" w:hAnsi="Times New Roman"/>
          <w:b/>
          <w:lang w:eastAsia="it-IT"/>
        </w:rPr>
        <w:t>Il n° linee di trattamento precedenti</w:t>
      </w:r>
    </w:p>
    <w:p w:rsidR="004A2366" w:rsidRPr="003F6D44" w:rsidRDefault="004A2366" w:rsidP="003F6D44">
      <w:pPr>
        <w:numPr>
          <w:ilvl w:val="0"/>
          <w:numId w:val="18"/>
        </w:numPr>
        <w:tabs>
          <w:tab w:val="left" w:pos="1134"/>
        </w:tabs>
        <w:spacing w:after="160" w:line="360" w:lineRule="auto"/>
        <w:ind w:right="-1"/>
        <w:jc w:val="both"/>
        <w:rPr>
          <w:rFonts w:ascii="Times New Roman" w:hAnsi="Times New Roman"/>
          <w:b/>
          <w:lang w:eastAsia="it-IT"/>
        </w:rPr>
      </w:pPr>
      <w:r w:rsidRPr="003F6D44">
        <w:rPr>
          <w:rFonts w:ascii="Times New Roman" w:hAnsi="Times New Roman"/>
          <w:b/>
          <w:lang w:eastAsia="it-IT"/>
        </w:rPr>
        <w:t>Le condizioni cliniche del paziente (performance status ECOG)</w:t>
      </w:r>
    </w:p>
    <w:p w:rsidR="004A2366" w:rsidRPr="003F6D44" w:rsidRDefault="004A2366" w:rsidP="003F6D44">
      <w:pPr>
        <w:numPr>
          <w:ilvl w:val="0"/>
          <w:numId w:val="18"/>
        </w:numPr>
        <w:tabs>
          <w:tab w:val="left" w:pos="1134"/>
        </w:tabs>
        <w:spacing w:after="160" w:line="360" w:lineRule="auto"/>
        <w:ind w:right="-1"/>
        <w:jc w:val="both"/>
        <w:rPr>
          <w:rFonts w:ascii="Times New Roman" w:hAnsi="Times New Roman"/>
          <w:b/>
          <w:lang w:eastAsia="it-IT"/>
        </w:rPr>
      </w:pPr>
      <w:r w:rsidRPr="003F6D44">
        <w:rPr>
          <w:rFonts w:ascii="Times New Roman" w:hAnsi="Times New Roman"/>
          <w:b/>
          <w:lang w:eastAsia="it-IT"/>
        </w:rPr>
        <w:t>Eventuali comorbidità</w:t>
      </w:r>
    </w:p>
    <w:p w:rsidR="004A2366" w:rsidRPr="003F6D44" w:rsidRDefault="004A2366" w:rsidP="003F6D44">
      <w:pPr>
        <w:numPr>
          <w:ilvl w:val="0"/>
          <w:numId w:val="18"/>
        </w:numPr>
        <w:tabs>
          <w:tab w:val="left" w:pos="1134"/>
        </w:tabs>
        <w:spacing w:after="160" w:line="360" w:lineRule="auto"/>
        <w:ind w:right="-1"/>
        <w:jc w:val="both"/>
        <w:rPr>
          <w:rFonts w:ascii="Times New Roman" w:hAnsi="Times New Roman"/>
          <w:b/>
          <w:lang w:eastAsia="it-IT"/>
        </w:rPr>
      </w:pPr>
      <w:r w:rsidRPr="003F6D44">
        <w:rPr>
          <w:rFonts w:ascii="Times New Roman" w:hAnsi="Times New Roman"/>
          <w:b/>
          <w:lang w:eastAsia="it-IT"/>
        </w:rPr>
        <w:t>Candidabile ad una terapia standard.  (il case manager che lo prende in carico per l'eventuale trial, nel caso di impossibilità ad arruolarlo, rinvia il paziente al centro di provenienza.</w:t>
      </w:r>
    </w:p>
    <w:p w:rsidR="004A2366" w:rsidRPr="003F6D44" w:rsidRDefault="004A2366" w:rsidP="003F6D44">
      <w:pPr>
        <w:numPr>
          <w:ilvl w:val="0"/>
          <w:numId w:val="18"/>
        </w:numPr>
        <w:tabs>
          <w:tab w:val="left" w:pos="1134"/>
        </w:tabs>
        <w:spacing w:after="160" w:line="360" w:lineRule="auto"/>
        <w:ind w:right="-1"/>
        <w:jc w:val="both"/>
        <w:rPr>
          <w:rFonts w:ascii="Times New Roman" w:hAnsi="Times New Roman"/>
          <w:b/>
          <w:lang w:eastAsia="it-IT"/>
        </w:rPr>
      </w:pPr>
      <w:r w:rsidRPr="003F6D44">
        <w:rPr>
          <w:rFonts w:ascii="Times New Roman" w:hAnsi="Times New Roman"/>
          <w:b/>
          <w:lang w:eastAsia="it-IT"/>
        </w:rPr>
        <w:t xml:space="preserve">Metastasi cerebrali </w:t>
      </w:r>
    </w:p>
    <w:p w:rsidR="004A2366" w:rsidRPr="003F6D44" w:rsidRDefault="004A2366" w:rsidP="003F6D44">
      <w:pPr>
        <w:numPr>
          <w:ilvl w:val="0"/>
          <w:numId w:val="18"/>
        </w:numPr>
        <w:tabs>
          <w:tab w:val="left" w:pos="1134"/>
        </w:tabs>
        <w:spacing w:after="160" w:line="360" w:lineRule="auto"/>
        <w:ind w:right="-1"/>
        <w:jc w:val="both"/>
        <w:rPr>
          <w:rFonts w:ascii="Times New Roman" w:hAnsi="Times New Roman"/>
          <w:b/>
          <w:lang w:eastAsia="it-IT"/>
        </w:rPr>
      </w:pPr>
      <w:r w:rsidRPr="003F6D44">
        <w:rPr>
          <w:rFonts w:ascii="Times New Roman" w:hAnsi="Times New Roman"/>
          <w:b/>
          <w:lang w:eastAsia="it-IT"/>
        </w:rPr>
        <w:t>Disponibile NGS (se è già noto lo stato di MSI e/o altri "target")</w:t>
      </w:r>
    </w:p>
    <w:p w:rsidR="004A2366" w:rsidRPr="003F6D44" w:rsidRDefault="004A2366" w:rsidP="003F6D44">
      <w:pPr>
        <w:tabs>
          <w:tab w:val="left" w:pos="1134"/>
        </w:tabs>
        <w:spacing w:line="360" w:lineRule="auto"/>
        <w:ind w:right="-1"/>
        <w:jc w:val="both"/>
        <w:rPr>
          <w:rFonts w:ascii="Times New Roman" w:hAnsi="Times New Roman"/>
          <w:bCs/>
          <w:lang w:eastAsia="it-IT"/>
        </w:rPr>
      </w:pPr>
      <w:r w:rsidRPr="003F6D44">
        <w:rPr>
          <w:rFonts w:ascii="Times New Roman" w:hAnsi="Times New Roman"/>
          <w:bCs/>
          <w:lang w:eastAsia="it-IT"/>
        </w:rPr>
        <w:t xml:space="preserve">Il case manager riceverà la segnalazione in piattaforma e con il medico responsabile del protocollo sperimentale prende in carico il paziente ed organizza una prima visita entro 5 giorni per iniziare eventuale screening per il protocollo, o in caso contrario rimetterà in rete la richiesta. </w:t>
      </w:r>
    </w:p>
    <w:p w:rsidR="004A2366" w:rsidRPr="003F6D44" w:rsidRDefault="004A2366" w:rsidP="003F6D44">
      <w:pPr>
        <w:tabs>
          <w:tab w:val="left" w:pos="1134"/>
        </w:tabs>
        <w:spacing w:line="360" w:lineRule="auto"/>
        <w:ind w:right="-1"/>
        <w:jc w:val="both"/>
        <w:rPr>
          <w:rFonts w:ascii="Times New Roman" w:hAnsi="Times New Roman"/>
          <w:bCs/>
          <w:lang w:eastAsia="it-IT"/>
        </w:rPr>
      </w:pPr>
      <w:r w:rsidRPr="003F6D44">
        <w:rPr>
          <w:rFonts w:ascii="Times New Roman" w:hAnsi="Times New Roman"/>
          <w:b/>
          <w:lang w:eastAsia="it-IT"/>
        </w:rPr>
        <w:t xml:space="preserve">I </w:t>
      </w:r>
      <w:r w:rsidRPr="003F6D44">
        <w:rPr>
          <w:rFonts w:ascii="Times New Roman" w:hAnsi="Times New Roman"/>
          <w:b/>
          <w:lang w:val="x-none" w:eastAsia="it-IT"/>
        </w:rPr>
        <w:t xml:space="preserve">Centri </w:t>
      </w:r>
      <w:r w:rsidRPr="003F6D44">
        <w:rPr>
          <w:rFonts w:ascii="Times New Roman" w:hAnsi="Times New Roman"/>
          <w:b/>
          <w:lang w:eastAsia="it-IT"/>
        </w:rPr>
        <w:t xml:space="preserve">di Fase I </w:t>
      </w:r>
      <w:r w:rsidRPr="003F6D44">
        <w:rPr>
          <w:rFonts w:ascii="Times New Roman" w:hAnsi="Times New Roman"/>
          <w:bCs/>
          <w:lang w:eastAsia="it-IT"/>
        </w:rPr>
        <w:t>sono</w:t>
      </w:r>
      <w:r w:rsidRPr="003F6D44">
        <w:rPr>
          <w:rFonts w:ascii="Times New Roman" w:hAnsi="Times New Roman"/>
          <w:b/>
          <w:lang w:eastAsia="it-IT"/>
        </w:rPr>
        <w:t>:</w:t>
      </w:r>
      <w:r w:rsidRPr="003F6D44">
        <w:rPr>
          <w:rFonts w:ascii="Times New Roman" w:hAnsi="Times New Roman"/>
          <w:bCs/>
          <w:lang w:eastAsia="it-IT"/>
        </w:rPr>
        <w:t xml:space="preserve"> A.O.U. Federico II, I.N.T. Fondazione G. Pascale e A.O.U. Vanvitelli</w:t>
      </w:r>
    </w:p>
    <w:p w:rsidR="004A2366" w:rsidRPr="003F6D44" w:rsidRDefault="004A2366" w:rsidP="003F6D44">
      <w:pPr>
        <w:tabs>
          <w:tab w:val="left" w:pos="1134"/>
        </w:tabs>
        <w:spacing w:line="360" w:lineRule="auto"/>
        <w:ind w:right="-1"/>
        <w:jc w:val="both"/>
        <w:rPr>
          <w:rFonts w:ascii="Times New Roman" w:hAnsi="Times New Roman"/>
          <w:bCs/>
          <w:lang w:eastAsia="it-IT"/>
        </w:rPr>
      </w:pPr>
      <w:r w:rsidRPr="003F6D44">
        <w:rPr>
          <w:rFonts w:ascii="Times New Roman" w:hAnsi="Times New Roman"/>
          <w:bCs/>
          <w:noProof/>
          <w:lang w:eastAsia="it-IT"/>
        </w:rPr>
        <w:drawing>
          <wp:inline distT="0" distB="0" distL="0" distR="0" wp14:anchorId="6D63015B" wp14:editId="0A37F639">
            <wp:extent cx="6120130" cy="4908637"/>
            <wp:effectExtent l="0" t="0" r="0" b="6350"/>
            <wp:docPr id="5" name="Immagine 5"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e.derrico\Desktop\Cattur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4908637"/>
                    </a:xfrm>
                    <a:prstGeom prst="rect">
                      <a:avLst/>
                    </a:prstGeom>
                    <a:noFill/>
                    <a:ln>
                      <a:noFill/>
                    </a:ln>
                  </pic:spPr>
                </pic:pic>
              </a:graphicData>
            </a:graphic>
          </wp:inline>
        </w:drawing>
      </w:r>
    </w:p>
    <w:p w:rsidR="004A2366" w:rsidRPr="003F6D44" w:rsidRDefault="004A2366" w:rsidP="003F6D44">
      <w:pPr>
        <w:tabs>
          <w:tab w:val="left" w:pos="1134"/>
        </w:tabs>
        <w:spacing w:line="360" w:lineRule="auto"/>
        <w:ind w:right="-1"/>
        <w:jc w:val="both"/>
        <w:rPr>
          <w:rFonts w:ascii="Times New Roman" w:hAnsi="Times New Roman"/>
          <w:bCs/>
          <w:lang w:eastAsia="it-IT"/>
        </w:rPr>
      </w:pPr>
    </w:p>
    <w:p w:rsidR="004F1EC1" w:rsidRDefault="004F1EC1" w:rsidP="003F6D44">
      <w:pPr>
        <w:spacing w:line="360" w:lineRule="auto"/>
        <w:jc w:val="both"/>
        <w:rPr>
          <w:rFonts w:ascii="Times New Roman" w:hAnsi="Times New Roman"/>
          <w:b/>
          <w:lang w:eastAsia="it-IT"/>
        </w:rPr>
      </w:pPr>
    </w:p>
    <w:p w:rsidR="004A2366" w:rsidRPr="003F6D44" w:rsidRDefault="004A2366" w:rsidP="003F6D44">
      <w:pPr>
        <w:spacing w:line="360" w:lineRule="auto"/>
        <w:jc w:val="both"/>
        <w:rPr>
          <w:rFonts w:ascii="Times New Roman" w:hAnsi="Times New Roman"/>
        </w:rPr>
      </w:pPr>
    </w:p>
    <w:p w:rsidR="004A2366" w:rsidRPr="003F6D44" w:rsidRDefault="004A2366" w:rsidP="003F6D44">
      <w:pPr>
        <w:spacing w:line="360" w:lineRule="auto"/>
        <w:jc w:val="both"/>
        <w:rPr>
          <w:rFonts w:ascii="Times New Roman" w:eastAsia="Calibri" w:hAnsi="Times New Roman"/>
          <w:b/>
        </w:rPr>
      </w:pPr>
      <w:r w:rsidRPr="003F6D44">
        <w:rPr>
          <w:rFonts w:ascii="Times New Roman" w:eastAsia="Calibri" w:hAnsi="Times New Roman"/>
          <w:b/>
        </w:rPr>
        <w:t xml:space="preserve">Valutazione nutrizionale e psico-oncologica </w:t>
      </w:r>
    </w:p>
    <w:p w:rsidR="004A2366" w:rsidRPr="003F6D44" w:rsidRDefault="004A2366" w:rsidP="003F6D44">
      <w:pPr>
        <w:spacing w:line="360" w:lineRule="auto"/>
        <w:jc w:val="both"/>
        <w:rPr>
          <w:rFonts w:ascii="Times New Roman" w:eastAsia="Calibri" w:hAnsi="Times New Roman"/>
        </w:rPr>
      </w:pPr>
      <w:r w:rsidRPr="003F6D44">
        <w:rPr>
          <w:rFonts w:ascii="Times New Roman" w:eastAsia="Calibri" w:hAnsi="Times New Roman"/>
        </w:rPr>
        <w:t>La presa in carico dei GOM deve avvenire in maniera olistica includendo anche l’aspetto psico-sociale e nutrizionale. La piattaforma ROC dà la possibilità di inserire nella sezione “allegati” la relazione nutrizionale e psicologica a testimonianza del percorso di screening previsto dai due PDTA specifici.</w:t>
      </w:r>
    </w:p>
    <w:p w:rsidR="004A2366" w:rsidRPr="003F6D44" w:rsidRDefault="004A2366" w:rsidP="003F6D44">
      <w:pPr>
        <w:spacing w:line="360" w:lineRule="auto"/>
        <w:jc w:val="both"/>
        <w:rPr>
          <w:rFonts w:ascii="Times New Roman" w:eastAsia="Calibri" w:hAnsi="Times New Roman"/>
        </w:rPr>
      </w:pPr>
      <w:r w:rsidRPr="003F6D44">
        <w:rPr>
          <w:rFonts w:ascii="Times New Roman" w:eastAsia="Calibri" w:hAnsi="Times New Roman"/>
          <w:noProof/>
          <w:lang w:eastAsia="it-IT"/>
        </w:rPr>
        <w:drawing>
          <wp:inline distT="0" distB="0" distL="0" distR="0" wp14:anchorId="4821E67F" wp14:editId="57947B10">
            <wp:extent cx="5276850" cy="3388565"/>
            <wp:effectExtent l="0" t="0" r="0" b="2540"/>
            <wp:docPr id="3" name="Immagine 3"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e.derrico\Desktop\Cattur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4285" cy="3393339"/>
                    </a:xfrm>
                    <a:prstGeom prst="rect">
                      <a:avLst/>
                    </a:prstGeom>
                    <a:noFill/>
                    <a:ln>
                      <a:noFill/>
                    </a:ln>
                  </pic:spPr>
                </pic:pic>
              </a:graphicData>
            </a:graphic>
          </wp:inline>
        </w:drawing>
      </w:r>
    </w:p>
    <w:p w:rsidR="004A2366" w:rsidRPr="003F6D44" w:rsidRDefault="004A2366" w:rsidP="003F6D44">
      <w:pPr>
        <w:spacing w:line="360" w:lineRule="auto"/>
        <w:jc w:val="both"/>
        <w:rPr>
          <w:rFonts w:ascii="Times New Roman" w:eastAsia="Calibri" w:hAnsi="Times New Roman"/>
        </w:rPr>
      </w:pPr>
      <w:r w:rsidRPr="003F6D44">
        <w:rPr>
          <w:rFonts w:ascii="Times New Roman" w:eastAsia="Calibri" w:hAnsi="Times New Roman"/>
          <w:noProof/>
          <w:lang w:eastAsia="it-IT"/>
        </w:rPr>
        <w:drawing>
          <wp:inline distT="0" distB="0" distL="0" distR="0" wp14:anchorId="76420859" wp14:editId="5E4741FB">
            <wp:extent cx="5372100" cy="3222625"/>
            <wp:effectExtent l="0" t="0" r="0" b="0"/>
            <wp:docPr id="4" name="Immagine 4"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e.derrico\Desktop\Cattur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82622" cy="3228937"/>
                    </a:xfrm>
                    <a:prstGeom prst="rect">
                      <a:avLst/>
                    </a:prstGeom>
                    <a:noFill/>
                    <a:ln>
                      <a:noFill/>
                    </a:ln>
                  </pic:spPr>
                </pic:pic>
              </a:graphicData>
            </a:graphic>
          </wp:inline>
        </w:drawing>
      </w:r>
    </w:p>
    <w:p w:rsidR="004A2366" w:rsidRPr="003F6D44" w:rsidRDefault="004A2366" w:rsidP="003F6D44">
      <w:pPr>
        <w:spacing w:line="360" w:lineRule="auto"/>
        <w:jc w:val="both"/>
        <w:rPr>
          <w:rFonts w:ascii="Times New Roman" w:hAnsi="Times New Roman"/>
        </w:rPr>
      </w:pPr>
    </w:p>
    <w:p w:rsidR="004F1EC1" w:rsidRDefault="004F1EC1" w:rsidP="003F6D44">
      <w:pPr>
        <w:spacing w:line="360" w:lineRule="auto"/>
        <w:jc w:val="both"/>
        <w:rPr>
          <w:rFonts w:ascii="Times New Roman" w:hAnsi="Times New Roman"/>
          <w:b/>
        </w:rPr>
      </w:pPr>
    </w:p>
    <w:p w:rsidR="004F1EC1" w:rsidRDefault="004F1EC1" w:rsidP="003F6D44">
      <w:pPr>
        <w:spacing w:line="360" w:lineRule="auto"/>
        <w:jc w:val="both"/>
        <w:rPr>
          <w:rFonts w:ascii="Times New Roman" w:hAnsi="Times New Roman"/>
          <w:b/>
        </w:rPr>
      </w:pPr>
    </w:p>
    <w:p w:rsidR="004A2366" w:rsidRPr="003F6D44" w:rsidRDefault="004A2366" w:rsidP="003F6D44">
      <w:pPr>
        <w:spacing w:line="360" w:lineRule="auto"/>
        <w:jc w:val="both"/>
        <w:rPr>
          <w:rFonts w:ascii="Times New Roman" w:hAnsi="Times New Roman"/>
          <w:b/>
        </w:rPr>
      </w:pPr>
      <w:r w:rsidRPr="003F6D44">
        <w:rPr>
          <w:rFonts w:ascii="Times New Roman" w:hAnsi="Times New Roman"/>
          <w:b/>
        </w:rPr>
        <w:t>Ruolo dei Medici di Medina Generale (MMG) nei GOM</w:t>
      </w:r>
      <w:r w:rsidRPr="003F6D44">
        <w:rPr>
          <w:rFonts w:ascii="Times New Roman" w:hAnsi="Times New Roman"/>
          <w:noProof/>
          <w:lang w:eastAsia="it-IT"/>
        </w:rPr>
        <mc:AlternateContent>
          <mc:Choice Requires="wps">
            <w:drawing>
              <wp:anchor distT="0" distB="0" distL="0" distR="0" simplePos="0" relativeHeight="251682304" behindDoc="1" locked="0" layoutInCell="1" hidden="0" allowOverlap="1" wp14:anchorId="6EBB1991" wp14:editId="1AD0B249">
                <wp:simplePos x="0" y="0"/>
                <wp:positionH relativeFrom="column">
                  <wp:posOffset>3750309</wp:posOffset>
                </wp:positionH>
                <wp:positionV relativeFrom="paragraph">
                  <wp:posOffset>-822323</wp:posOffset>
                </wp:positionV>
                <wp:extent cx="90805" cy="90805"/>
                <wp:effectExtent l="0" t="0" r="0" b="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525">
                          <a:solidFill>
                            <a:srgbClr val="000000"/>
                          </a:solidFill>
                          <a:prstDash val="solid"/>
                          <a:miter lim="800000"/>
                          <a:headEnd/>
                          <a:tailEnd/>
                        </a:ln>
                        <a:extLst/>
                      </wps:spPr>
                      <wps:bodyPr rot="0" vert="horz" wrap="square" lIns="91440" tIns="45720" rIns="91440" bIns="45720" anchor="t" anchorCtr="0" upright="1">
                        <a:noAutofit/>
                      </wps:bodyPr>
                    </wps:wsp>
                  </a:graphicData>
                </a:graphic>
              </wp:anchor>
            </w:drawing>
          </mc:Choice>
          <mc:Fallback>
            <w:pict>
              <v:rect w14:anchorId="42C31598" id="Rettangolo 6" o:spid="_x0000_s1026" style="position:absolute;margin-left:295.3pt;margin-top:-64.75pt;width:7.15pt;height:7.15pt;z-index:-2516341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" filled="f"/>
            </w:pict>
          </mc:Fallback>
        </mc:AlternateContent>
      </w:r>
      <w:r w:rsidRPr="003F6D44">
        <w:rPr>
          <w:rFonts w:ascii="Times New Roman" w:hAnsi="Times New Roman"/>
          <w:noProof/>
          <w:lang w:eastAsia="it-IT"/>
        </w:rPr>
        <mc:AlternateContent>
          <mc:Choice Requires="wps">
            <w:drawing>
              <wp:anchor distT="0" distB="0" distL="0" distR="0" simplePos="0" relativeHeight="251683328" behindDoc="1" locked="0" layoutInCell="1" hidden="0" allowOverlap="1" wp14:anchorId="53544F7E" wp14:editId="647A7EB8">
                <wp:simplePos x="0" y="0"/>
                <wp:positionH relativeFrom="column">
                  <wp:posOffset>5165090</wp:posOffset>
                </wp:positionH>
                <wp:positionV relativeFrom="paragraph">
                  <wp:posOffset>-822323</wp:posOffset>
                </wp:positionV>
                <wp:extent cx="90805" cy="90805"/>
                <wp:effectExtent l="0" t="0" r="0" b="0"/>
                <wp:wrapNone/>
                <wp:docPr id="25" name="Rettango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525">
                          <a:solidFill>
                            <a:srgbClr val="000000"/>
                          </a:solidFill>
                          <a:prstDash val="solid"/>
                          <a:miter lim="800000"/>
                          <a:headEnd/>
                          <a:tailEnd/>
                        </a:ln>
                        <a:extLst/>
                      </wps:spPr>
                      <wps:bodyPr rot="0" vert="horz" wrap="square" lIns="91440" tIns="45720" rIns="91440" bIns="45720" anchor="t" anchorCtr="0" upright="1">
                        <a:noAutofit/>
                      </wps:bodyPr>
                    </wps:wsp>
                  </a:graphicData>
                </a:graphic>
              </wp:anchor>
            </w:drawing>
          </mc:Choice>
          <mc:Fallback>
            <w:pict>
              <v:rect w14:anchorId="397C2CDA" id="Rettangolo 25" o:spid="_x0000_s1026" style="position:absolute;margin-left:406.7pt;margin-top:-64.75pt;width:7.15pt;height:7.15pt;z-index:-251633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" filled="f"/>
            </w:pict>
          </mc:Fallback>
        </mc:AlternateContent>
      </w:r>
    </w:p>
    <w:p w:rsidR="004A2366" w:rsidRPr="003F6D44" w:rsidRDefault="004A2366" w:rsidP="003F6D44">
      <w:pPr>
        <w:pBdr>
          <w:top w:val="nil"/>
          <w:left w:val="nil"/>
          <w:bottom w:val="nil"/>
          <w:right w:val="nil"/>
          <w:between w:val="nil"/>
        </w:pBdr>
        <w:spacing w:before="138" w:line="360" w:lineRule="auto"/>
        <w:ind w:right="335"/>
        <w:jc w:val="both"/>
        <w:rPr>
          <w:rFonts w:ascii="Times New Roman" w:hAnsi="Times New Roman"/>
          <w:color w:val="000000"/>
        </w:rPr>
      </w:pPr>
      <w:r w:rsidRPr="003F6D44">
        <w:rPr>
          <w:rFonts w:ascii="Times New Roman" w:hAnsi="Times New Roman"/>
          <w:color w:val="000000"/>
        </w:rPr>
        <w:t>Un ruolo cardine nella Rete Oncologica Campana è rivestito dai dei Medici di Medina Generale MMG, indispensabili in tutto il percorso del paziente, sia in fase di prevenzione primaria ed adesione a programmi di screening sia nella fase di follow-up, riabilitazione e reinserimento sociale del paziente, al fine di ottenere una reale continuità assistenziale.</w:t>
      </w:r>
    </w:p>
    <w:p w:rsidR="004A2366" w:rsidRPr="003F6D44" w:rsidRDefault="004A2366" w:rsidP="003F6D44">
      <w:pPr>
        <w:pBdr>
          <w:top w:val="nil"/>
          <w:left w:val="nil"/>
          <w:bottom w:val="nil"/>
          <w:right w:val="nil"/>
          <w:between w:val="nil"/>
        </w:pBdr>
        <w:spacing w:line="360" w:lineRule="auto"/>
        <w:ind w:right="347"/>
        <w:jc w:val="both"/>
        <w:rPr>
          <w:rFonts w:ascii="Times New Roman" w:hAnsi="Times New Roman"/>
          <w:color w:val="000000"/>
        </w:rPr>
      </w:pPr>
      <w:r w:rsidRPr="003F6D44">
        <w:rPr>
          <w:rFonts w:ascii="Times New Roman" w:hAnsi="Times New Roman"/>
          <w:color w:val="000000"/>
        </w:rPr>
        <w:t>Tutti i MMG possono entrare a far parte della Rete Oncologica Campana (ROC) e ottenere le credenziali di accesso alla piattaforma ROC.</w:t>
      </w:r>
    </w:p>
    <w:p w:rsidR="004A2366" w:rsidRPr="003F6D44" w:rsidRDefault="004A2366" w:rsidP="003F6D44">
      <w:pPr>
        <w:pBdr>
          <w:top w:val="nil"/>
          <w:left w:val="nil"/>
          <w:bottom w:val="nil"/>
          <w:right w:val="nil"/>
          <w:between w:val="nil"/>
        </w:pBdr>
        <w:spacing w:line="360" w:lineRule="auto"/>
        <w:ind w:right="341"/>
        <w:jc w:val="both"/>
        <w:rPr>
          <w:rFonts w:ascii="Times New Roman" w:hAnsi="Times New Roman"/>
          <w:color w:val="000000"/>
        </w:rPr>
      </w:pPr>
      <w:r w:rsidRPr="003F6D44">
        <w:rPr>
          <w:rFonts w:ascii="Times New Roman" w:hAnsi="Times New Roman"/>
          <w:color w:val="000000"/>
        </w:rPr>
        <w:t>Una volta ottenute le credenziali, essi potranno segnalare nuovi casi ai Gruppi Oncologici Multidisciplinari (GOM) della Rete.</w:t>
      </w:r>
    </w:p>
    <w:p w:rsidR="004A2366" w:rsidRPr="003F6D44" w:rsidRDefault="004A2366" w:rsidP="003F6D44">
      <w:pPr>
        <w:pBdr>
          <w:top w:val="nil"/>
          <w:left w:val="nil"/>
          <w:bottom w:val="nil"/>
          <w:right w:val="nil"/>
          <w:between w:val="nil"/>
        </w:pBdr>
        <w:spacing w:before="1" w:line="360" w:lineRule="auto"/>
        <w:ind w:right="341"/>
        <w:jc w:val="both"/>
        <w:rPr>
          <w:rFonts w:ascii="Times New Roman" w:hAnsi="Times New Roman"/>
          <w:color w:val="000000"/>
        </w:rPr>
      </w:pPr>
      <w:r w:rsidRPr="003F6D44">
        <w:rPr>
          <w:rFonts w:ascii="Times New Roman" w:hAnsi="Times New Roman"/>
          <w:color w:val="000000"/>
        </w:rPr>
        <w:t>I MMG possono segnalare tutti i cittadini con condizione fortemente suggestiva di patologia oncologica, i cittadini positivi a indagini di screening o i cittadini con diagnosi già accertata di tumore per indagini prescritte sul territorio. In questo modo, si crea un percorso facilitato che contribuisce a limitare decisamente il ritardo diagnostico e a indirizzare i pazienti verso i centri di riferimento.</w:t>
      </w:r>
    </w:p>
    <w:p w:rsidR="004A2366" w:rsidRPr="003F6D44" w:rsidRDefault="004A2366" w:rsidP="003F6D44">
      <w:pPr>
        <w:pBdr>
          <w:top w:val="nil"/>
          <w:left w:val="nil"/>
          <w:bottom w:val="nil"/>
          <w:right w:val="nil"/>
          <w:between w:val="nil"/>
        </w:pBdr>
        <w:spacing w:before="80" w:line="360" w:lineRule="auto"/>
        <w:ind w:right="348"/>
        <w:jc w:val="both"/>
        <w:rPr>
          <w:rFonts w:ascii="Times New Roman" w:hAnsi="Times New Roman"/>
          <w:color w:val="000000"/>
        </w:rPr>
      </w:pPr>
      <w:r w:rsidRPr="003F6D44">
        <w:rPr>
          <w:rFonts w:ascii="Times New Roman" w:hAnsi="Times New Roman"/>
          <w:color w:val="000000"/>
        </w:rPr>
        <w:t>La presa in carico del paziente viene eseguita dal case manager entro sette giorni dalla segnalazione, ma il MMG può comunque sempre verificare l’avvenuta presa in carico di un proprio assistito attraverso la piattaforma ROC.</w:t>
      </w:r>
    </w:p>
    <w:p w:rsidR="004A2366" w:rsidRPr="003F6D44" w:rsidRDefault="004A2366" w:rsidP="003F6D44">
      <w:pPr>
        <w:pBdr>
          <w:top w:val="nil"/>
          <w:left w:val="nil"/>
          <w:bottom w:val="nil"/>
          <w:right w:val="nil"/>
          <w:between w:val="nil"/>
        </w:pBdr>
        <w:spacing w:before="1" w:line="360" w:lineRule="auto"/>
        <w:ind w:right="336"/>
        <w:jc w:val="both"/>
        <w:rPr>
          <w:rFonts w:ascii="Times New Roman" w:hAnsi="Times New Roman"/>
          <w:color w:val="000000"/>
        </w:rPr>
      </w:pPr>
      <w:r w:rsidRPr="003F6D44">
        <w:rPr>
          <w:rFonts w:ascii="Times New Roman" w:hAnsi="Times New Roman"/>
          <w:color w:val="000000"/>
        </w:rPr>
        <w:t>I MMG, se lo richiedono, possono prendere parte a una riunione GOM ove viene discusso il loro paziente. La partecipazione del MMG potrebbe talora rilevarsi fondamentale nel fornire ulteriori informazioni e dati anamnestici e nel determinare un confronto con tutte le figure professionali coinvolte nel GOM.</w:t>
      </w:r>
    </w:p>
    <w:p w:rsidR="004A2366" w:rsidRPr="003F6D44" w:rsidRDefault="004A2366" w:rsidP="003F6D44">
      <w:pPr>
        <w:pBdr>
          <w:top w:val="nil"/>
          <w:left w:val="nil"/>
          <w:bottom w:val="nil"/>
          <w:right w:val="nil"/>
          <w:between w:val="nil"/>
        </w:pBdr>
        <w:spacing w:before="1" w:line="360" w:lineRule="auto"/>
        <w:ind w:right="335"/>
        <w:jc w:val="both"/>
        <w:rPr>
          <w:rFonts w:ascii="Times New Roman" w:hAnsi="Times New Roman"/>
          <w:color w:val="000000"/>
        </w:rPr>
      </w:pPr>
      <w:r w:rsidRPr="003F6D44">
        <w:rPr>
          <w:rFonts w:ascii="Times New Roman" w:hAnsi="Times New Roman"/>
          <w:color w:val="000000"/>
        </w:rPr>
        <w:t>Qualora, però, il MMG non partecipi alla riunione multidisciplinare, può accedere tramite la piattaforma ROC, al verbale del GOM di un paziente segnalato da loro, venendo, pertanto, a conoscenza del percorso diagnostico-terapeutico che un proprio assistito dovrà intraprendere.</w:t>
      </w:r>
    </w:p>
    <w:p w:rsidR="004A2366" w:rsidRDefault="004A2366" w:rsidP="003F6D44">
      <w:pPr>
        <w:pBdr>
          <w:top w:val="nil"/>
          <w:left w:val="nil"/>
          <w:bottom w:val="nil"/>
          <w:right w:val="nil"/>
          <w:between w:val="nil"/>
        </w:pBdr>
        <w:spacing w:line="360" w:lineRule="auto"/>
        <w:ind w:right="339"/>
        <w:jc w:val="both"/>
        <w:rPr>
          <w:rFonts w:ascii="Times New Roman" w:hAnsi="Times New Roman"/>
          <w:color w:val="000000"/>
        </w:rPr>
      </w:pPr>
      <w:r w:rsidRPr="003F6D44">
        <w:rPr>
          <w:rFonts w:ascii="Times New Roman" w:hAnsi="Times New Roman"/>
          <w:color w:val="000000"/>
        </w:rPr>
        <w:t>La piattaforma ROC consente al case manager di attivare su indicazione medica l’assistenza domiciliare integrata (ADI). I servizi richiesti vengono presi in carico dall’ ASL e dal Distretto di afferenza del paziente. I MMG possono verificare a questo punto l’avvenuto presa in carico di un loro assistito da parte del territorio.</w:t>
      </w:r>
    </w:p>
    <w:p w:rsidR="004F1EC1" w:rsidRDefault="004F1EC1" w:rsidP="003F6D44">
      <w:pPr>
        <w:pBdr>
          <w:top w:val="nil"/>
          <w:left w:val="nil"/>
          <w:bottom w:val="nil"/>
          <w:right w:val="nil"/>
          <w:between w:val="nil"/>
        </w:pBdr>
        <w:spacing w:line="360" w:lineRule="auto"/>
        <w:ind w:right="339"/>
        <w:jc w:val="both"/>
        <w:rPr>
          <w:rFonts w:ascii="Times New Roman" w:hAnsi="Times New Roman"/>
          <w:color w:val="000000"/>
        </w:rPr>
      </w:pPr>
    </w:p>
    <w:p w:rsidR="004F1EC1" w:rsidRDefault="004F1EC1" w:rsidP="003F6D44">
      <w:pPr>
        <w:pBdr>
          <w:top w:val="nil"/>
          <w:left w:val="nil"/>
          <w:bottom w:val="nil"/>
          <w:right w:val="nil"/>
          <w:between w:val="nil"/>
        </w:pBdr>
        <w:spacing w:line="360" w:lineRule="auto"/>
        <w:ind w:right="339"/>
        <w:jc w:val="both"/>
        <w:rPr>
          <w:rFonts w:ascii="Times New Roman" w:hAnsi="Times New Roman"/>
          <w:color w:val="000000"/>
        </w:rPr>
      </w:pPr>
    </w:p>
    <w:p w:rsidR="004F1EC1" w:rsidRDefault="004F1EC1" w:rsidP="003F6D44">
      <w:pPr>
        <w:pBdr>
          <w:top w:val="nil"/>
          <w:left w:val="nil"/>
          <w:bottom w:val="nil"/>
          <w:right w:val="nil"/>
          <w:between w:val="nil"/>
        </w:pBdr>
        <w:spacing w:line="360" w:lineRule="auto"/>
        <w:ind w:right="339"/>
        <w:jc w:val="both"/>
        <w:rPr>
          <w:rFonts w:ascii="Times New Roman" w:hAnsi="Times New Roman"/>
          <w:color w:val="000000"/>
        </w:rPr>
      </w:pPr>
    </w:p>
    <w:p w:rsidR="004F1EC1" w:rsidRDefault="004F1EC1" w:rsidP="003F6D44">
      <w:pPr>
        <w:pBdr>
          <w:top w:val="nil"/>
          <w:left w:val="nil"/>
          <w:bottom w:val="nil"/>
          <w:right w:val="nil"/>
          <w:between w:val="nil"/>
        </w:pBdr>
        <w:spacing w:line="360" w:lineRule="auto"/>
        <w:ind w:right="339"/>
        <w:jc w:val="both"/>
        <w:rPr>
          <w:rFonts w:ascii="Times New Roman" w:hAnsi="Times New Roman"/>
          <w:color w:val="000000"/>
        </w:rPr>
      </w:pPr>
    </w:p>
    <w:p w:rsidR="004F1EC1" w:rsidRPr="003F6D44" w:rsidRDefault="004F1EC1" w:rsidP="003F6D44">
      <w:pPr>
        <w:pBdr>
          <w:top w:val="nil"/>
          <w:left w:val="nil"/>
          <w:bottom w:val="nil"/>
          <w:right w:val="nil"/>
          <w:between w:val="nil"/>
        </w:pBdr>
        <w:spacing w:line="360" w:lineRule="auto"/>
        <w:ind w:right="339"/>
        <w:jc w:val="both"/>
        <w:rPr>
          <w:rFonts w:ascii="Times New Roman" w:hAnsi="Times New Roman"/>
          <w:color w:val="000000"/>
        </w:rPr>
      </w:pPr>
    </w:p>
    <w:p w:rsidR="004A2366" w:rsidRPr="003F6D44" w:rsidRDefault="004A2366" w:rsidP="003F6D44">
      <w:pPr>
        <w:pBdr>
          <w:top w:val="nil"/>
          <w:left w:val="nil"/>
          <w:bottom w:val="nil"/>
          <w:right w:val="nil"/>
          <w:between w:val="nil"/>
        </w:pBdr>
        <w:spacing w:line="360" w:lineRule="auto"/>
        <w:ind w:right="339"/>
        <w:jc w:val="both"/>
        <w:rPr>
          <w:rFonts w:ascii="Times New Roman" w:hAnsi="Times New Roman"/>
          <w:color w:val="000000"/>
        </w:rPr>
      </w:pPr>
    </w:p>
    <w:p w:rsidR="004A2366" w:rsidRPr="003F6D44" w:rsidRDefault="004A2366" w:rsidP="003F6D44">
      <w:pPr>
        <w:pBdr>
          <w:top w:val="nil"/>
          <w:left w:val="nil"/>
          <w:bottom w:val="nil"/>
          <w:right w:val="nil"/>
          <w:between w:val="nil"/>
        </w:pBdr>
        <w:spacing w:line="360" w:lineRule="auto"/>
        <w:ind w:right="339"/>
        <w:jc w:val="both"/>
        <w:rPr>
          <w:rFonts w:ascii="Times New Roman" w:hAnsi="Times New Roman"/>
          <w:b/>
          <w:color w:val="000000"/>
        </w:rPr>
      </w:pPr>
      <w:r w:rsidRPr="003F6D44">
        <w:rPr>
          <w:rFonts w:ascii="Times New Roman" w:hAnsi="Times New Roman"/>
          <w:b/>
          <w:color w:val="000000"/>
        </w:rPr>
        <w:t>Il case manager nella Rete Oncologica Campana</w:t>
      </w:r>
    </w:p>
    <w:p w:rsidR="004A2366" w:rsidRPr="003F6D44" w:rsidRDefault="004A2366" w:rsidP="003F6D44">
      <w:pPr>
        <w:pBdr>
          <w:top w:val="nil"/>
          <w:left w:val="nil"/>
          <w:bottom w:val="nil"/>
          <w:right w:val="nil"/>
          <w:between w:val="nil"/>
        </w:pBdr>
        <w:spacing w:line="360" w:lineRule="auto"/>
        <w:ind w:right="339"/>
        <w:jc w:val="both"/>
        <w:rPr>
          <w:rFonts w:ascii="Times New Roman" w:hAnsi="Times New Roman"/>
          <w:color w:val="000000"/>
        </w:rPr>
      </w:pPr>
    </w:p>
    <w:p w:rsidR="004A2366" w:rsidRPr="003F6D44" w:rsidRDefault="004A2366" w:rsidP="003F6D44">
      <w:pPr>
        <w:pBdr>
          <w:top w:val="nil"/>
          <w:left w:val="nil"/>
          <w:bottom w:val="nil"/>
          <w:right w:val="nil"/>
          <w:between w:val="nil"/>
        </w:pBdr>
        <w:spacing w:line="360" w:lineRule="auto"/>
        <w:ind w:right="339"/>
        <w:jc w:val="both"/>
        <w:rPr>
          <w:rFonts w:ascii="Times New Roman" w:hAnsi="Times New Roman"/>
          <w:color w:val="000000"/>
        </w:rPr>
      </w:pPr>
      <w:r w:rsidRPr="003F6D44">
        <w:rPr>
          <w:rFonts w:ascii="Times New Roman" w:hAnsi="Times New Roman"/>
          <w:color w:val="000000"/>
        </w:rPr>
        <w:t>Nell’ambito della Rete Oncologica Campana, il ruolo del case manager è cruciale per garantire un'assistenza continua e coordinata ai pazienti oncologici. Il case manager agisce come figura centrale nella gestione dei percorsi diagnostico-terapeutici assistenziali, assicurando che ogni paziente riceva cure personalizzate e tempestive, riducendo le frammentazioni e migliorando l'efficienza del sistema sanitario. Il case manager è un professionista che coordina uno o più casi clinici a lui affidati. Esistono diversi profili professionali che ricoprono questo ruolo, ma dal 2023 tutti i nuovi case manager devono essere infermieri con spe</w:t>
      </w:r>
      <w:r w:rsidR="004F1EC1">
        <w:rPr>
          <w:rFonts w:ascii="Times New Roman" w:hAnsi="Times New Roman"/>
          <w:color w:val="000000"/>
        </w:rPr>
        <w:t>cifica formazione e competenza.</w:t>
      </w:r>
    </w:p>
    <w:p w:rsidR="004A2366" w:rsidRPr="003F6D44" w:rsidRDefault="004A2366" w:rsidP="003F6D44">
      <w:pPr>
        <w:pBdr>
          <w:top w:val="nil"/>
          <w:left w:val="nil"/>
          <w:bottom w:val="nil"/>
          <w:right w:val="nil"/>
          <w:between w:val="nil"/>
        </w:pBdr>
        <w:spacing w:line="360" w:lineRule="auto"/>
        <w:ind w:right="339"/>
        <w:jc w:val="both"/>
        <w:rPr>
          <w:rFonts w:ascii="Times New Roman" w:hAnsi="Times New Roman"/>
          <w:color w:val="000000"/>
        </w:rPr>
      </w:pPr>
      <w:r w:rsidRPr="003F6D44">
        <w:rPr>
          <w:rFonts w:ascii="Times New Roman" w:hAnsi="Times New Roman"/>
          <w:color w:val="000000"/>
        </w:rPr>
        <w:t>I case manager nella Rete Oncologica Campana svolgono una serie di attività fondamentali per il supporto ai pazienti oncologici, facilitando la comunicazione fra i vari specialisti coinvolti nel percorso di cura del paziente e assicurando che tutte le informazioni cliniche siano condivise tempestivamente tra i membri del gruppo oncol</w:t>
      </w:r>
      <w:r w:rsidR="004F1EC1">
        <w:rPr>
          <w:rFonts w:ascii="Times New Roman" w:hAnsi="Times New Roman"/>
          <w:color w:val="000000"/>
        </w:rPr>
        <w:t xml:space="preserve">ogico multidisciplinare (GOM). </w:t>
      </w:r>
    </w:p>
    <w:p w:rsidR="004A2366" w:rsidRPr="003F6D44" w:rsidRDefault="004A2366" w:rsidP="003F6D44">
      <w:pPr>
        <w:pBdr>
          <w:top w:val="nil"/>
          <w:left w:val="nil"/>
          <w:bottom w:val="nil"/>
          <w:right w:val="nil"/>
          <w:between w:val="nil"/>
        </w:pBdr>
        <w:spacing w:line="360" w:lineRule="auto"/>
        <w:ind w:right="339"/>
        <w:jc w:val="both"/>
        <w:rPr>
          <w:rFonts w:ascii="Times New Roman" w:hAnsi="Times New Roman"/>
          <w:color w:val="000000"/>
        </w:rPr>
      </w:pPr>
      <w:r w:rsidRPr="003F6D44">
        <w:rPr>
          <w:rFonts w:ascii="Times New Roman" w:hAnsi="Times New Roman"/>
          <w:color w:val="000000"/>
        </w:rPr>
        <w:t>Sono il portale di accesso per le richieste di presa in carico che vengono inviate, tramite la piattaforma ROC, dal territorio, dai Medici di Medicina Generale (MMG) e da altri specialisti in possesso delle credenziali ROC. Insieme ai medici, i case manager attivano la continuità territoriale o altri servizi offerti dalla piattaforma, garantendo così un percorso di cura integrato e personalizzato per o</w:t>
      </w:r>
      <w:r w:rsidR="004F1EC1">
        <w:rPr>
          <w:rFonts w:ascii="Times New Roman" w:hAnsi="Times New Roman"/>
          <w:color w:val="000000"/>
        </w:rPr>
        <w:t>gni paziente.</w:t>
      </w:r>
    </w:p>
    <w:p w:rsidR="004A2366" w:rsidRPr="003F6D44" w:rsidRDefault="004A2366" w:rsidP="003F6D44">
      <w:pPr>
        <w:pBdr>
          <w:top w:val="nil"/>
          <w:left w:val="nil"/>
          <w:bottom w:val="nil"/>
          <w:right w:val="nil"/>
          <w:between w:val="nil"/>
        </w:pBdr>
        <w:spacing w:line="360" w:lineRule="auto"/>
        <w:ind w:right="339"/>
        <w:jc w:val="both"/>
        <w:rPr>
          <w:rFonts w:ascii="Times New Roman" w:hAnsi="Times New Roman"/>
          <w:color w:val="000000"/>
        </w:rPr>
      </w:pPr>
      <w:r w:rsidRPr="003F6D44">
        <w:rPr>
          <w:rFonts w:ascii="Times New Roman" w:hAnsi="Times New Roman"/>
          <w:color w:val="000000"/>
        </w:rPr>
        <w:t>Il case manager si occupa della programmazione di esami richiesti dal Gruppo Oncologico Multidisciplinare (GOM), della gestione riunioni multidisciplinare e della verifica della completezza delle schede rela</w:t>
      </w:r>
      <w:r w:rsidR="004F1EC1">
        <w:rPr>
          <w:rFonts w:ascii="Times New Roman" w:hAnsi="Times New Roman"/>
          <w:color w:val="000000"/>
        </w:rPr>
        <w:t xml:space="preserve">tive ai pazienti da discutere. </w:t>
      </w:r>
    </w:p>
    <w:p w:rsidR="004A2366" w:rsidRPr="003F6D44" w:rsidRDefault="004A2366" w:rsidP="003F6D44">
      <w:pPr>
        <w:pBdr>
          <w:top w:val="nil"/>
          <w:left w:val="nil"/>
          <w:bottom w:val="nil"/>
          <w:right w:val="nil"/>
          <w:between w:val="nil"/>
        </w:pBdr>
        <w:spacing w:line="360" w:lineRule="auto"/>
        <w:ind w:right="339"/>
        <w:jc w:val="both"/>
        <w:rPr>
          <w:rFonts w:ascii="Times New Roman" w:hAnsi="Times New Roman"/>
          <w:color w:val="000000"/>
        </w:rPr>
      </w:pPr>
      <w:r w:rsidRPr="003F6D44">
        <w:rPr>
          <w:rFonts w:ascii="Times New Roman" w:hAnsi="Times New Roman"/>
          <w:color w:val="000000"/>
        </w:rPr>
        <w:t>Il case manager rappresenta un punto di riferimento essenziale per i pazienti oncologici e le loro famiglie, garantendo un percorso di cu</w:t>
      </w:r>
      <w:r w:rsidR="004F1EC1">
        <w:rPr>
          <w:rFonts w:ascii="Times New Roman" w:hAnsi="Times New Roman"/>
          <w:color w:val="000000"/>
        </w:rPr>
        <w:t xml:space="preserve">ra integrato e personalizzato. </w:t>
      </w:r>
    </w:p>
    <w:p w:rsidR="004A2366" w:rsidRDefault="004A2366" w:rsidP="003F6D44">
      <w:pPr>
        <w:pBdr>
          <w:top w:val="nil"/>
          <w:left w:val="nil"/>
          <w:bottom w:val="nil"/>
          <w:right w:val="nil"/>
          <w:between w:val="nil"/>
        </w:pBdr>
        <w:spacing w:line="360" w:lineRule="auto"/>
        <w:ind w:right="339"/>
        <w:jc w:val="both"/>
        <w:rPr>
          <w:rFonts w:ascii="Times New Roman" w:hAnsi="Times New Roman"/>
          <w:color w:val="000000"/>
        </w:rPr>
      </w:pPr>
      <w:r w:rsidRPr="003F6D44">
        <w:rPr>
          <w:rFonts w:ascii="Times New Roman" w:hAnsi="Times New Roman"/>
          <w:color w:val="000000"/>
        </w:rPr>
        <w:t xml:space="preserve">L’implementazione efficace dei case manager nella Rete Oncologica Campana, con un carico di lavoro stimato di un case manager ogni 150 pazienti discussi annualmente, non solo migliora la qualità dell’assistenza, ma contribuisce anche a ottimizzare l’uso delle risorse sanitarie, riducendo i tempi di attesa </w:t>
      </w:r>
      <w:r w:rsidR="004F1EC1">
        <w:rPr>
          <w:rFonts w:ascii="Times New Roman" w:hAnsi="Times New Roman"/>
          <w:color w:val="000000"/>
        </w:rPr>
        <w:t>e migliorando gli esiti clinici.</w:t>
      </w:r>
    </w:p>
    <w:p w:rsidR="004F1EC1" w:rsidRDefault="004F1EC1" w:rsidP="003F6D44">
      <w:pPr>
        <w:pBdr>
          <w:top w:val="nil"/>
          <w:left w:val="nil"/>
          <w:bottom w:val="nil"/>
          <w:right w:val="nil"/>
          <w:between w:val="nil"/>
        </w:pBdr>
        <w:spacing w:line="360" w:lineRule="auto"/>
        <w:ind w:right="339"/>
        <w:jc w:val="both"/>
        <w:rPr>
          <w:rFonts w:ascii="Times New Roman" w:hAnsi="Times New Roman"/>
          <w:color w:val="000000"/>
        </w:rPr>
      </w:pPr>
    </w:p>
    <w:p w:rsidR="004F1EC1" w:rsidRDefault="004F1EC1" w:rsidP="003F6D44">
      <w:pPr>
        <w:pBdr>
          <w:top w:val="nil"/>
          <w:left w:val="nil"/>
          <w:bottom w:val="nil"/>
          <w:right w:val="nil"/>
          <w:between w:val="nil"/>
        </w:pBdr>
        <w:spacing w:line="360" w:lineRule="auto"/>
        <w:ind w:right="339"/>
        <w:jc w:val="both"/>
        <w:rPr>
          <w:rFonts w:ascii="Times New Roman" w:hAnsi="Times New Roman"/>
          <w:color w:val="000000"/>
        </w:rPr>
      </w:pPr>
    </w:p>
    <w:p w:rsidR="004F1EC1" w:rsidRDefault="004F1EC1" w:rsidP="003F6D44">
      <w:pPr>
        <w:pBdr>
          <w:top w:val="nil"/>
          <w:left w:val="nil"/>
          <w:bottom w:val="nil"/>
          <w:right w:val="nil"/>
          <w:between w:val="nil"/>
        </w:pBdr>
        <w:spacing w:line="360" w:lineRule="auto"/>
        <w:ind w:right="339"/>
        <w:jc w:val="both"/>
        <w:rPr>
          <w:rFonts w:ascii="Times New Roman" w:hAnsi="Times New Roman"/>
          <w:color w:val="000000"/>
        </w:rPr>
      </w:pPr>
    </w:p>
    <w:p w:rsidR="004F1EC1" w:rsidRDefault="004F1EC1" w:rsidP="003F6D44">
      <w:pPr>
        <w:pBdr>
          <w:top w:val="nil"/>
          <w:left w:val="nil"/>
          <w:bottom w:val="nil"/>
          <w:right w:val="nil"/>
          <w:between w:val="nil"/>
        </w:pBdr>
        <w:spacing w:line="360" w:lineRule="auto"/>
        <w:ind w:right="339"/>
        <w:jc w:val="both"/>
        <w:rPr>
          <w:rFonts w:ascii="Times New Roman" w:hAnsi="Times New Roman"/>
          <w:color w:val="000000"/>
        </w:rPr>
      </w:pPr>
    </w:p>
    <w:p w:rsidR="004F1EC1" w:rsidRDefault="004F1EC1" w:rsidP="003F6D44">
      <w:pPr>
        <w:pBdr>
          <w:top w:val="nil"/>
          <w:left w:val="nil"/>
          <w:bottom w:val="nil"/>
          <w:right w:val="nil"/>
          <w:between w:val="nil"/>
        </w:pBdr>
        <w:spacing w:line="360" w:lineRule="auto"/>
        <w:ind w:right="339"/>
        <w:jc w:val="both"/>
        <w:rPr>
          <w:rFonts w:ascii="Times New Roman" w:hAnsi="Times New Roman"/>
          <w:color w:val="000000"/>
        </w:rPr>
      </w:pPr>
    </w:p>
    <w:p w:rsidR="004F1EC1" w:rsidRPr="003F6D44" w:rsidRDefault="004F1EC1" w:rsidP="003F6D44">
      <w:pPr>
        <w:pBdr>
          <w:top w:val="nil"/>
          <w:left w:val="nil"/>
          <w:bottom w:val="nil"/>
          <w:right w:val="nil"/>
          <w:between w:val="nil"/>
        </w:pBdr>
        <w:spacing w:line="360" w:lineRule="auto"/>
        <w:ind w:right="339"/>
        <w:jc w:val="both"/>
        <w:rPr>
          <w:rFonts w:ascii="Times New Roman" w:hAnsi="Times New Roman"/>
          <w:color w:val="000000"/>
        </w:rPr>
      </w:pPr>
    </w:p>
    <w:p w:rsidR="003F6D44" w:rsidRPr="003F6D44" w:rsidRDefault="003F6D44" w:rsidP="003F6D44">
      <w:pPr>
        <w:spacing w:line="360" w:lineRule="auto"/>
        <w:jc w:val="both"/>
        <w:rPr>
          <w:rFonts w:ascii="Times New Roman" w:hAnsi="Times New Roman"/>
        </w:rPr>
      </w:pPr>
    </w:p>
    <w:p w:rsidR="00FF6BDE" w:rsidRPr="004F1EC1" w:rsidRDefault="00770A13" w:rsidP="003F6D44">
      <w:pPr>
        <w:spacing w:line="360" w:lineRule="auto"/>
        <w:jc w:val="both"/>
        <w:rPr>
          <w:rFonts w:ascii="Times New Roman" w:hAnsi="Times New Roman"/>
          <w:b/>
        </w:rPr>
      </w:pPr>
      <w:r w:rsidRPr="004F1EC1">
        <w:rPr>
          <w:rFonts w:ascii="Times New Roman" w:hAnsi="Times New Roman"/>
          <w:b/>
        </w:rPr>
        <w:t>Tempi di presa in carico (in giorni lavorativi)</w:t>
      </w:r>
    </w:p>
    <w:p w:rsidR="003F6D44" w:rsidRPr="003F6D44" w:rsidRDefault="003F6D44" w:rsidP="003F6D44">
      <w:pPr>
        <w:pBdr>
          <w:top w:val="nil"/>
          <w:left w:val="nil"/>
          <w:bottom w:val="nil"/>
          <w:right w:val="nil"/>
          <w:between w:val="nil"/>
        </w:pBdr>
        <w:spacing w:line="360" w:lineRule="auto"/>
        <w:ind w:hanging="2"/>
        <w:jc w:val="both"/>
        <w:rPr>
          <w:rFonts w:ascii="Times New Roman" w:hAnsi="Times New Roman"/>
          <w:b/>
        </w:rPr>
      </w:pPr>
      <w:r w:rsidRPr="003F6D44">
        <w:rPr>
          <w:rFonts w:ascii="Times New Roman" w:hAnsi="Times New Roman"/>
          <w:b/>
        </w:rPr>
        <w:t>I tempi indicati di seguito per il percorso del paziente sono da intendere come riferimenti teorici, suscettibili di modifiche in relazione alle caratteristiche cliniche del paziente e alla complessità diagnostica e all’offering delle Aziende della Rete Oncologica e dell’intero sistema regionale. Sono di seguito indicati al fine di monitorare i percorsi e di identificare eventuali azioni di miglioramento</w:t>
      </w:r>
    </w:p>
    <w:p w:rsidR="003F6D44" w:rsidRPr="003F6D44" w:rsidRDefault="003F6D44" w:rsidP="003F6D44">
      <w:pPr>
        <w:spacing w:line="360" w:lineRule="auto"/>
        <w:jc w:val="both"/>
        <w:rPr>
          <w:rFonts w:ascii="Times New Roman" w:hAnsi="Times New Roman"/>
        </w:rPr>
      </w:pPr>
    </w:p>
    <w:p w:rsidR="00FF6BDE" w:rsidRPr="003F6D44" w:rsidRDefault="00770A13" w:rsidP="003F6D44">
      <w:pPr>
        <w:pStyle w:val="Paragrafoelenco"/>
        <w:numPr>
          <w:ilvl w:val="0"/>
          <w:numId w:val="5"/>
        </w:numPr>
        <w:spacing w:after="0" w:line="360" w:lineRule="auto"/>
        <w:jc w:val="both"/>
        <w:rPr>
          <w:rFonts w:ascii="Times New Roman" w:hAnsi="Times New Roman"/>
          <w:b/>
          <w:sz w:val="24"/>
          <w:szCs w:val="24"/>
        </w:rPr>
      </w:pPr>
      <w:r w:rsidRPr="003F6D44">
        <w:rPr>
          <w:rFonts w:ascii="Times New Roman" w:hAnsi="Times New Roman"/>
          <w:sz w:val="24"/>
          <w:szCs w:val="24"/>
        </w:rPr>
        <w:t xml:space="preserve">Il primo accesso al GOM per patologia tiroidea nodulare di recente scoperta avverrà tramite prenotazione effettuata dal MMG o altro medico specialista attraverso il sistema informatico della Rete Oncologica Campana </w:t>
      </w:r>
    </w:p>
    <w:p w:rsidR="00FF6BDE" w:rsidRPr="003F6D44" w:rsidRDefault="00770A13" w:rsidP="003F6D44">
      <w:pPr>
        <w:pStyle w:val="Paragrafoelenco"/>
        <w:numPr>
          <w:ilvl w:val="0"/>
          <w:numId w:val="5"/>
        </w:numPr>
        <w:spacing w:after="0" w:line="360" w:lineRule="auto"/>
        <w:jc w:val="both"/>
        <w:rPr>
          <w:rFonts w:ascii="Times New Roman" w:hAnsi="Times New Roman"/>
          <w:b/>
          <w:sz w:val="24"/>
          <w:szCs w:val="24"/>
        </w:rPr>
      </w:pPr>
      <w:r w:rsidRPr="003F6D44">
        <w:rPr>
          <w:rFonts w:ascii="Times New Roman" w:hAnsi="Times New Roman"/>
          <w:sz w:val="24"/>
          <w:szCs w:val="24"/>
        </w:rPr>
        <w:t xml:space="preserve">La prima visita da parte del GOM che prende in carico la paziente sarà erogata </w:t>
      </w:r>
      <w:r w:rsidRPr="003F6D44">
        <w:rPr>
          <w:rFonts w:ascii="Times New Roman" w:hAnsi="Times New Roman"/>
          <w:b/>
          <w:sz w:val="24"/>
          <w:szCs w:val="24"/>
        </w:rPr>
        <w:t>entro 7 giorni lavorativi</w:t>
      </w:r>
      <w:r w:rsidRPr="003F6D44">
        <w:rPr>
          <w:rFonts w:ascii="Times New Roman" w:hAnsi="Times New Roman"/>
          <w:sz w:val="24"/>
          <w:szCs w:val="24"/>
        </w:rPr>
        <w:t xml:space="preserve">. </w:t>
      </w:r>
    </w:p>
    <w:p w:rsidR="00FF6BDE" w:rsidRPr="003F6D44" w:rsidRDefault="00770A13" w:rsidP="003F6D44">
      <w:pPr>
        <w:pStyle w:val="Paragrafoelenco"/>
        <w:numPr>
          <w:ilvl w:val="0"/>
          <w:numId w:val="5"/>
        </w:numPr>
        <w:spacing w:after="0" w:line="360" w:lineRule="auto"/>
        <w:jc w:val="both"/>
        <w:rPr>
          <w:rFonts w:ascii="Times New Roman" w:hAnsi="Times New Roman"/>
          <w:b/>
          <w:sz w:val="24"/>
          <w:szCs w:val="24"/>
        </w:rPr>
      </w:pPr>
      <w:r w:rsidRPr="003F6D44">
        <w:rPr>
          <w:rFonts w:ascii="Times New Roman" w:eastAsia="Times New Roman" w:hAnsi="Times New Roman"/>
          <w:bCs/>
          <w:sz w:val="24"/>
          <w:szCs w:val="24"/>
        </w:rPr>
        <w:t xml:space="preserve">In caso di indicazione alla valutazione citologica, </w:t>
      </w:r>
      <w:r w:rsidRPr="003F6D44">
        <w:rPr>
          <w:rFonts w:ascii="Times New Roman" w:eastAsia="Times New Roman" w:hAnsi="Times New Roman"/>
          <w:sz w:val="24"/>
          <w:szCs w:val="24"/>
        </w:rPr>
        <w:t>la definizione diagnostica della patologia nodulare</w:t>
      </w:r>
      <w:r w:rsidRPr="003F6D44">
        <w:rPr>
          <w:rFonts w:ascii="Times New Roman" w:eastAsia="Times New Roman" w:hAnsi="Times New Roman"/>
          <w:b/>
          <w:bCs/>
          <w:sz w:val="24"/>
          <w:szCs w:val="24"/>
        </w:rPr>
        <w:t xml:space="preserve"> </w:t>
      </w:r>
      <w:r w:rsidRPr="003F6D44">
        <w:rPr>
          <w:rFonts w:ascii="Times New Roman" w:eastAsia="Times New Roman" w:hAnsi="Times New Roman"/>
          <w:bCs/>
          <w:sz w:val="24"/>
          <w:szCs w:val="24"/>
        </w:rPr>
        <w:t>sarà completata</w:t>
      </w:r>
      <w:r w:rsidRPr="003F6D44">
        <w:rPr>
          <w:rFonts w:ascii="Times New Roman" w:eastAsia="Times New Roman" w:hAnsi="Times New Roman"/>
          <w:b/>
          <w:bCs/>
          <w:sz w:val="24"/>
          <w:szCs w:val="24"/>
        </w:rPr>
        <w:t xml:space="preserve"> entro ulteriori 45 giorni </w:t>
      </w:r>
      <w:r w:rsidRPr="003F6D44">
        <w:rPr>
          <w:rFonts w:ascii="Times New Roman" w:eastAsia="Times New Roman" w:hAnsi="Times New Roman"/>
          <w:bCs/>
          <w:sz w:val="24"/>
          <w:szCs w:val="24"/>
        </w:rPr>
        <w:t>dalla prima visita</w:t>
      </w:r>
      <w:r w:rsidRPr="003F6D44">
        <w:rPr>
          <w:rFonts w:ascii="Times New Roman" w:eastAsia="Times New Roman" w:hAnsi="Times New Roman"/>
          <w:sz w:val="24"/>
          <w:szCs w:val="24"/>
        </w:rPr>
        <w:t>.</w:t>
      </w:r>
    </w:p>
    <w:p w:rsidR="00FF6BDE" w:rsidRPr="003F6D44" w:rsidRDefault="00770A13" w:rsidP="003F6D44">
      <w:pPr>
        <w:pStyle w:val="Paragrafoelenco"/>
        <w:numPr>
          <w:ilvl w:val="0"/>
          <w:numId w:val="5"/>
        </w:numPr>
        <w:spacing w:after="0" w:line="360" w:lineRule="auto"/>
        <w:jc w:val="both"/>
        <w:rPr>
          <w:rFonts w:ascii="Times New Roman" w:hAnsi="Times New Roman"/>
          <w:b/>
          <w:sz w:val="24"/>
          <w:szCs w:val="24"/>
        </w:rPr>
      </w:pPr>
      <w:r w:rsidRPr="003F6D44">
        <w:rPr>
          <w:rFonts w:ascii="Times New Roman" w:eastAsia="Times New Roman" w:hAnsi="Times New Roman"/>
          <w:sz w:val="24"/>
          <w:szCs w:val="24"/>
        </w:rPr>
        <w:t xml:space="preserve">Nei casi di sospetta malignità, l’intervento chirurgico sarà espletato secondo le tempistiche già riportate nella sezione apposita, dipendenti dalle caratteristiche di malattia. </w:t>
      </w:r>
    </w:p>
    <w:p w:rsidR="00FF6BDE" w:rsidRPr="003F6D44" w:rsidRDefault="00770A13" w:rsidP="003F6D44">
      <w:pPr>
        <w:pStyle w:val="Paragrafoelenco"/>
        <w:numPr>
          <w:ilvl w:val="0"/>
          <w:numId w:val="5"/>
        </w:numPr>
        <w:spacing w:after="0" w:line="360" w:lineRule="auto"/>
        <w:jc w:val="both"/>
        <w:rPr>
          <w:rFonts w:ascii="Times New Roman" w:hAnsi="Times New Roman"/>
          <w:b/>
          <w:sz w:val="24"/>
          <w:szCs w:val="24"/>
        </w:rPr>
      </w:pPr>
      <w:r w:rsidRPr="003F6D44">
        <w:rPr>
          <w:rFonts w:ascii="Times New Roman" w:eastAsia="Times New Roman" w:hAnsi="Times New Roman"/>
          <w:sz w:val="24"/>
          <w:szCs w:val="24"/>
        </w:rPr>
        <w:t xml:space="preserve">Il referto istologico, necessario per la stratificazione prognostica, sarà disponibile </w:t>
      </w:r>
      <w:r w:rsidRPr="003F6D44">
        <w:rPr>
          <w:rFonts w:ascii="Times New Roman" w:eastAsia="Times New Roman" w:hAnsi="Times New Roman"/>
          <w:b/>
          <w:sz w:val="24"/>
          <w:szCs w:val="24"/>
        </w:rPr>
        <w:t>e</w:t>
      </w:r>
      <w:r w:rsidRPr="003F6D44">
        <w:rPr>
          <w:rFonts w:ascii="Times New Roman" w:eastAsia="Times New Roman" w:hAnsi="Times New Roman"/>
          <w:b/>
          <w:bCs/>
          <w:sz w:val="24"/>
          <w:szCs w:val="24"/>
        </w:rPr>
        <w:t xml:space="preserve">ntro 15/30 giorni dall’intervento. </w:t>
      </w:r>
    </w:p>
    <w:p w:rsidR="00FF6BDE" w:rsidRPr="003F6D44" w:rsidRDefault="00770A13" w:rsidP="003F6D44">
      <w:pPr>
        <w:pStyle w:val="Paragrafoelenco"/>
        <w:numPr>
          <w:ilvl w:val="0"/>
          <w:numId w:val="5"/>
        </w:numPr>
        <w:spacing w:after="0" w:line="360" w:lineRule="auto"/>
        <w:jc w:val="both"/>
        <w:rPr>
          <w:rFonts w:ascii="Times New Roman" w:hAnsi="Times New Roman"/>
          <w:b/>
          <w:sz w:val="24"/>
          <w:szCs w:val="24"/>
        </w:rPr>
      </w:pPr>
      <w:r w:rsidRPr="003F6D44">
        <w:rPr>
          <w:rFonts w:ascii="Times New Roman" w:hAnsi="Times New Roman"/>
          <w:sz w:val="24"/>
          <w:szCs w:val="24"/>
        </w:rPr>
        <w:t xml:space="preserve">Il </w:t>
      </w:r>
      <w:r w:rsidRPr="003F6D44">
        <w:rPr>
          <w:rFonts w:ascii="Times New Roman" w:hAnsi="Times New Roman"/>
          <w:i/>
          <w:sz w:val="24"/>
          <w:szCs w:val="24"/>
        </w:rPr>
        <w:t>Case Manager</w:t>
      </w:r>
      <w:r w:rsidRPr="003F6D44">
        <w:rPr>
          <w:rFonts w:ascii="Times New Roman" w:hAnsi="Times New Roman"/>
          <w:sz w:val="24"/>
          <w:szCs w:val="24"/>
        </w:rPr>
        <w:t xml:space="preserve"> incaricato dal GOM insieme ad un medico si occuperà della consegna dell’esame istologico, ricorrendo alle risorse interne aziendali. Il </w:t>
      </w:r>
      <w:r w:rsidRPr="003F6D44">
        <w:rPr>
          <w:rFonts w:ascii="Times New Roman" w:hAnsi="Times New Roman"/>
          <w:i/>
          <w:sz w:val="24"/>
          <w:szCs w:val="24"/>
        </w:rPr>
        <w:t>Case Manager</w:t>
      </w:r>
      <w:r w:rsidRPr="003F6D44">
        <w:rPr>
          <w:rFonts w:ascii="Times New Roman" w:hAnsi="Times New Roman"/>
          <w:sz w:val="24"/>
          <w:szCs w:val="24"/>
        </w:rPr>
        <w:t xml:space="preserve"> provvederà ad organizzare le visite successive indirizzando il paziente, su indicazione degli specialisti del GOM, presso una delle Istituzioni appartenenti alla Rete Oncologica Campana.</w:t>
      </w:r>
    </w:p>
    <w:p w:rsidR="00FF6BDE" w:rsidRPr="003F6D44" w:rsidRDefault="00770A13" w:rsidP="003F6D44">
      <w:pPr>
        <w:pStyle w:val="Paragrafoelenco"/>
        <w:numPr>
          <w:ilvl w:val="0"/>
          <w:numId w:val="5"/>
        </w:numPr>
        <w:spacing w:after="0" w:line="360" w:lineRule="auto"/>
        <w:jc w:val="both"/>
        <w:rPr>
          <w:rFonts w:ascii="Times New Roman" w:hAnsi="Times New Roman"/>
          <w:b/>
          <w:sz w:val="24"/>
          <w:szCs w:val="24"/>
        </w:rPr>
      </w:pPr>
      <w:r w:rsidRPr="003F6D44">
        <w:rPr>
          <w:rFonts w:ascii="Times New Roman" w:eastAsia="Times New Roman" w:hAnsi="Times New Roman"/>
          <w:sz w:val="24"/>
          <w:szCs w:val="24"/>
        </w:rPr>
        <w:t xml:space="preserve">Al completamento della fase chirurgica il </w:t>
      </w:r>
      <w:r w:rsidRPr="003F6D44">
        <w:rPr>
          <w:rFonts w:ascii="Times New Roman" w:eastAsia="Times New Roman" w:hAnsi="Times New Roman"/>
          <w:iCs/>
          <w:sz w:val="24"/>
          <w:szCs w:val="24"/>
        </w:rPr>
        <w:t xml:space="preserve">GOM </w:t>
      </w:r>
      <w:r w:rsidRPr="003F6D44">
        <w:rPr>
          <w:rFonts w:ascii="Times New Roman" w:eastAsia="Times New Roman" w:hAnsi="Times New Roman"/>
          <w:sz w:val="24"/>
          <w:szCs w:val="24"/>
        </w:rPr>
        <w:t xml:space="preserve">definirà e programmerà il prosieguo del percorso clinico; se ritenuto opportuno il CORP/CORPUS farà riferimento alla Rete Oncologica per una </w:t>
      </w:r>
      <w:r w:rsidRPr="003F6D44">
        <w:rPr>
          <w:rFonts w:ascii="Times New Roman" w:eastAsia="Times New Roman" w:hAnsi="Times New Roman"/>
          <w:i/>
          <w:iCs/>
          <w:sz w:val="24"/>
          <w:szCs w:val="24"/>
        </w:rPr>
        <w:t>second opinion.</w:t>
      </w:r>
    </w:p>
    <w:p w:rsidR="00FF6BDE" w:rsidRPr="003F6D44" w:rsidRDefault="00770A13" w:rsidP="003F6D44">
      <w:pPr>
        <w:pStyle w:val="Paragrafoelenco"/>
        <w:numPr>
          <w:ilvl w:val="0"/>
          <w:numId w:val="5"/>
        </w:numPr>
        <w:spacing w:after="0" w:line="360" w:lineRule="auto"/>
        <w:jc w:val="both"/>
        <w:rPr>
          <w:rFonts w:ascii="Times New Roman" w:hAnsi="Times New Roman"/>
          <w:sz w:val="24"/>
          <w:szCs w:val="24"/>
        </w:rPr>
      </w:pPr>
      <w:r w:rsidRPr="003F6D44">
        <w:rPr>
          <w:rFonts w:ascii="Times New Roman" w:hAnsi="Times New Roman"/>
          <w:sz w:val="24"/>
          <w:szCs w:val="24"/>
        </w:rPr>
        <w:t>Laddove indicato, il paziente praticherà terapia radio-metabolica per uno dei Centri di Medicina Nucleare del GOM secondo le modalità e tempistiche delle più recenti linee-guida.</w:t>
      </w:r>
    </w:p>
    <w:p w:rsidR="00FF6BDE" w:rsidRPr="003F6D44" w:rsidRDefault="00770A13" w:rsidP="003F6D44">
      <w:pPr>
        <w:pStyle w:val="Paragrafoelenco"/>
        <w:numPr>
          <w:ilvl w:val="0"/>
          <w:numId w:val="5"/>
        </w:numPr>
        <w:spacing w:after="0" w:line="360" w:lineRule="auto"/>
        <w:jc w:val="both"/>
        <w:rPr>
          <w:rFonts w:ascii="Times New Roman" w:hAnsi="Times New Roman"/>
          <w:sz w:val="24"/>
          <w:szCs w:val="24"/>
        </w:rPr>
      </w:pPr>
      <w:r w:rsidRPr="003F6D44">
        <w:rPr>
          <w:rFonts w:ascii="Times New Roman" w:hAnsi="Times New Roman"/>
          <w:sz w:val="24"/>
          <w:szCs w:val="24"/>
        </w:rPr>
        <w:t xml:space="preserve">Il follow-up sarà effettuato presso uno dei Centri facenti parte del GOM ed in caso di nuovi presidi terapeutici (atti chirurgici, terapia radio-metabolica, terapia medica), questi saranno praticati in Centri selezionati del GOM. </w:t>
      </w:r>
    </w:p>
    <w:p w:rsidR="00FF6BDE" w:rsidRPr="003F6D44" w:rsidRDefault="00FF6BDE" w:rsidP="003F6D44">
      <w:pPr>
        <w:spacing w:line="360" w:lineRule="auto"/>
        <w:jc w:val="both"/>
        <w:rPr>
          <w:rFonts w:ascii="Times New Roman" w:hAnsi="Times New Roman"/>
          <w:b/>
        </w:rPr>
      </w:pPr>
    </w:p>
    <w:p w:rsidR="00FF6BDE" w:rsidRPr="003F6D44" w:rsidRDefault="00FF6BDE" w:rsidP="003F6D44">
      <w:pPr>
        <w:spacing w:line="360" w:lineRule="auto"/>
        <w:jc w:val="both"/>
        <w:rPr>
          <w:rFonts w:ascii="Times New Roman" w:hAnsi="Times New Roman"/>
          <w:b/>
        </w:rPr>
      </w:pPr>
    </w:p>
    <w:p w:rsidR="00FF6BDE" w:rsidRPr="003F6D44" w:rsidRDefault="00FF6BDE" w:rsidP="003F6D44">
      <w:pPr>
        <w:spacing w:line="360" w:lineRule="auto"/>
        <w:jc w:val="both"/>
        <w:rPr>
          <w:rFonts w:ascii="Times New Roman" w:hAnsi="Times New Roman"/>
        </w:rPr>
      </w:pPr>
    </w:p>
    <w:p w:rsidR="00FF6BDE" w:rsidRPr="003F6D44" w:rsidRDefault="00FF6BDE" w:rsidP="003F6D44">
      <w:pPr>
        <w:pStyle w:val="Titolo3"/>
        <w:rPr>
          <w:u w:val="none"/>
        </w:rPr>
      </w:pPr>
    </w:p>
    <w:p w:rsidR="00FF6BDE" w:rsidRPr="003F6D44" w:rsidRDefault="00770A13" w:rsidP="003F6D44">
      <w:pPr>
        <w:spacing w:line="360" w:lineRule="auto"/>
        <w:jc w:val="both"/>
        <w:rPr>
          <w:rFonts w:ascii="Times New Roman" w:hAnsi="Times New Roman"/>
          <w:b/>
        </w:rPr>
      </w:pPr>
      <w:r w:rsidRPr="003F6D44">
        <w:rPr>
          <w:rFonts w:ascii="Times New Roman" w:hAnsi="Times New Roman"/>
          <w:b/>
        </w:rPr>
        <w:t>Piano di revisione del PDTA</w:t>
      </w:r>
    </w:p>
    <w:p w:rsidR="00FF6BDE" w:rsidRPr="003F6D44" w:rsidRDefault="00FF6BDE" w:rsidP="004F1EC1">
      <w:pPr>
        <w:spacing w:line="276"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658"/>
      </w:tblGrid>
      <w:tr w:rsidR="00FF6BDE" w:rsidRPr="003F6D44" w:rsidTr="008F2D48">
        <w:tc>
          <w:tcPr>
            <w:tcW w:w="3964" w:type="dxa"/>
            <w:shd w:val="clear" w:color="auto" w:fill="auto"/>
          </w:tcPr>
          <w:p w:rsidR="00FF6BDE" w:rsidRPr="003F6D44" w:rsidRDefault="00770A13" w:rsidP="004F1EC1">
            <w:pPr>
              <w:spacing w:line="276" w:lineRule="auto"/>
              <w:rPr>
                <w:rFonts w:ascii="Times New Roman" w:hAnsi="Times New Roman"/>
              </w:rPr>
            </w:pPr>
            <w:r w:rsidRPr="003F6D44">
              <w:rPr>
                <w:rFonts w:ascii="Times New Roman" w:hAnsi="Times New Roman"/>
              </w:rPr>
              <w:t>Coordinamento piano PDTA ROC</w:t>
            </w:r>
          </w:p>
        </w:tc>
        <w:tc>
          <w:tcPr>
            <w:tcW w:w="5658" w:type="dxa"/>
            <w:shd w:val="clear" w:color="auto" w:fill="auto"/>
          </w:tcPr>
          <w:p w:rsidR="00FF6BDE" w:rsidRPr="003F6D44" w:rsidRDefault="00770A13" w:rsidP="004F1EC1">
            <w:pPr>
              <w:spacing w:line="276" w:lineRule="auto"/>
              <w:rPr>
                <w:rFonts w:ascii="Times New Roman" w:hAnsi="Times New Roman"/>
              </w:rPr>
            </w:pPr>
            <w:r w:rsidRPr="003F6D44">
              <w:rPr>
                <w:rFonts w:ascii="Times New Roman" w:hAnsi="Times New Roman"/>
              </w:rPr>
              <w:t>Sandro Pignata</w:t>
            </w:r>
          </w:p>
        </w:tc>
      </w:tr>
      <w:tr w:rsidR="00FF6BDE" w:rsidRPr="003F6D44" w:rsidTr="008F2D48">
        <w:tc>
          <w:tcPr>
            <w:tcW w:w="3964" w:type="dxa"/>
            <w:shd w:val="clear" w:color="auto" w:fill="auto"/>
          </w:tcPr>
          <w:p w:rsidR="00FF6BDE" w:rsidRPr="003F6D44" w:rsidRDefault="00770A13" w:rsidP="004F1EC1">
            <w:pPr>
              <w:spacing w:line="276" w:lineRule="auto"/>
              <w:rPr>
                <w:rFonts w:ascii="Times New Roman" w:hAnsi="Times New Roman"/>
              </w:rPr>
            </w:pPr>
            <w:r w:rsidRPr="003F6D44">
              <w:rPr>
                <w:rFonts w:ascii="Times New Roman" w:hAnsi="Times New Roman"/>
              </w:rPr>
              <w:t>Primi estensori</w:t>
            </w:r>
          </w:p>
        </w:tc>
        <w:tc>
          <w:tcPr>
            <w:tcW w:w="5658" w:type="dxa"/>
            <w:shd w:val="clear" w:color="auto" w:fill="auto"/>
          </w:tcPr>
          <w:p w:rsidR="00FF6BDE" w:rsidRPr="003F6D44" w:rsidRDefault="005C4A5B" w:rsidP="004F1EC1">
            <w:pPr>
              <w:spacing w:line="276" w:lineRule="auto"/>
              <w:rPr>
                <w:rFonts w:ascii="Times New Roman" w:hAnsi="Times New Roman"/>
              </w:rPr>
            </w:pPr>
            <w:r w:rsidRPr="003F6D44">
              <w:rPr>
                <w:rFonts w:ascii="Times New Roman" w:hAnsi="Times New Roman"/>
              </w:rPr>
              <w:t>M.G. Chiofalo</w:t>
            </w:r>
            <w:r w:rsidR="00770A13" w:rsidRPr="003F6D44">
              <w:rPr>
                <w:rFonts w:ascii="Times New Roman" w:hAnsi="Times New Roman"/>
              </w:rPr>
              <w:t xml:space="preserve">, A Colao, A.Silvestri, </w:t>
            </w:r>
            <w:r w:rsidR="003F6D44" w:rsidRPr="003F6D44">
              <w:rPr>
                <w:rFonts w:ascii="Times New Roman" w:hAnsi="Times New Roman"/>
              </w:rPr>
              <w:t>A. Servetto, F, Di Gennaro</w:t>
            </w:r>
            <w:r w:rsidR="00770A13" w:rsidRPr="003F6D44">
              <w:rPr>
                <w:rFonts w:ascii="Times New Roman" w:hAnsi="Times New Roman"/>
              </w:rPr>
              <w:t xml:space="preserve">, Scavuzzo, S Buonopane, D. Salvatore </w:t>
            </w:r>
          </w:p>
        </w:tc>
      </w:tr>
      <w:tr w:rsidR="003F6D44" w:rsidRPr="003F6D44" w:rsidTr="008F2D48">
        <w:tc>
          <w:tcPr>
            <w:tcW w:w="3964" w:type="dxa"/>
            <w:shd w:val="clear" w:color="auto" w:fill="auto"/>
          </w:tcPr>
          <w:p w:rsidR="003F6D44" w:rsidRPr="003F6D44" w:rsidRDefault="003F6D44" w:rsidP="004F1EC1">
            <w:pPr>
              <w:pBdr>
                <w:top w:val="nil"/>
                <w:left w:val="nil"/>
                <w:bottom w:val="nil"/>
                <w:right w:val="nil"/>
                <w:between w:val="nil"/>
              </w:pBdr>
              <w:spacing w:line="276" w:lineRule="auto"/>
              <w:rPr>
                <w:rFonts w:ascii="Times New Roman" w:hAnsi="Times New Roman"/>
                <w:color w:val="000000"/>
              </w:rPr>
            </w:pPr>
            <w:r w:rsidRPr="003F6D44">
              <w:rPr>
                <w:rFonts w:ascii="Times New Roman" w:hAnsi="Times New Roman"/>
                <w:color w:val="000000"/>
              </w:rPr>
              <w:t>Seconda valutazione</w:t>
            </w:r>
          </w:p>
        </w:tc>
        <w:tc>
          <w:tcPr>
            <w:tcW w:w="5658" w:type="dxa"/>
            <w:shd w:val="clear" w:color="auto" w:fill="auto"/>
          </w:tcPr>
          <w:p w:rsidR="009508FE" w:rsidRDefault="009508FE" w:rsidP="009508FE">
            <w:pPr>
              <w:pBdr>
                <w:top w:val="nil"/>
                <w:left w:val="nil"/>
                <w:bottom w:val="nil"/>
                <w:right w:val="nil"/>
                <w:between w:val="nil"/>
              </w:pBdr>
              <w:spacing w:line="268" w:lineRule="auto"/>
              <w:rPr>
                <w:rFonts w:ascii="Times New Roman" w:hAnsi="Times New Roman"/>
              </w:rPr>
            </w:pPr>
            <w:r w:rsidRPr="009508FE">
              <w:rPr>
                <w:rFonts w:ascii="Times New Roman" w:hAnsi="Times New Roman"/>
              </w:rPr>
              <w:t>Tutti i referenti per la ROC dei CORP-CORPUS e ASL</w:t>
            </w:r>
          </w:p>
          <w:p w:rsidR="008F2D48" w:rsidRPr="009508FE" w:rsidRDefault="008F2D48" w:rsidP="009508FE">
            <w:pPr>
              <w:pBdr>
                <w:top w:val="nil"/>
                <w:left w:val="nil"/>
                <w:bottom w:val="nil"/>
                <w:right w:val="nil"/>
                <w:between w:val="nil"/>
              </w:pBdr>
              <w:spacing w:line="268" w:lineRule="auto"/>
              <w:rPr>
                <w:rFonts w:ascii="Times New Roman" w:hAnsi="Times New Roman"/>
              </w:rPr>
            </w:pPr>
            <w:r>
              <w:rPr>
                <w:rFonts w:ascii="Times New Roman" w:hAnsi="Times New Roman"/>
              </w:rPr>
              <w:t>Sandro Pignata, IRCCS Pascale</w:t>
            </w:r>
          </w:p>
          <w:p w:rsidR="009508FE" w:rsidRPr="009508FE" w:rsidRDefault="009508FE" w:rsidP="009508FE">
            <w:pPr>
              <w:pBdr>
                <w:top w:val="nil"/>
                <w:left w:val="nil"/>
                <w:bottom w:val="nil"/>
                <w:right w:val="nil"/>
                <w:between w:val="nil"/>
              </w:pBdr>
              <w:spacing w:before="53"/>
              <w:rPr>
                <w:rFonts w:ascii="Times New Roman" w:hAnsi="Times New Roman"/>
              </w:rPr>
            </w:pPr>
            <w:r w:rsidRPr="009508FE">
              <w:rPr>
                <w:rFonts w:ascii="Times New Roman" w:hAnsi="Times New Roman"/>
              </w:rPr>
              <w:t>Ferdinando Riccardi, A.O.</w:t>
            </w:r>
            <w:r w:rsidR="008F2D48">
              <w:rPr>
                <w:rFonts w:ascii="Times New Roman" w:hAnsi="Times New Roman"/>
              </w:rPr>
              <w:t>R.N.</w:t>
            </w:r>
            <w:r w:rsidRPr="009508FE">
              <w:rPr>
                <w:rFonts w:ascii="Times New Roman" w:hAnsi="Times New Roman"/>
              </w:rPr>
              <w:t xml:space="preserve"> Cardarelli</w:t>
            </w:r>
          </w:p>
          <w:p w:rsidR="009508FE" w:rsidRPr="009508FE" w:rsidRDefault="009508FE" w:rsidP="009508FE">
            <w:pPr>
              <w:pBdr>
                <w:top w:val="nil"/>
                <w:left w:val="nil"/>
                <w:bottom w:val="nil"/>
                <w:right w:val="nil"/>
                <w:between w:val="nil"/>
              </w:pBdr>
              <w:spacing w:before="53"/>
              <w:rPr>
                <w:rFonts w:ascii="Times New Roman" w:hAnsi="Times New Roman"/>
              </w:rPr>
            </w:pPr>
            <w:r w:rsidRPr="009508FE">
              <w:rPr>
                <w:rFonts w:ascii="Times New Roman" w:hAnsi="Times New Roman"/>
              </w:rPr>
              <w:t xml:space="preserve">Vincenzo Montesarchio, </w:t>
            </w:r>
            <w:r w:rsidR="008F2D48" w:rsidRPr="009508FE">
              <w:rPr>
                <w:rFonts w:ascii="Times New Roman" w:hAnsi="Times New Roman"/>
              </w:rPr>
              <w:t>A.O.</w:t>
            </w:r>
            <w:r w:rsidR="008F2D48">
              <w:rPr>
                <w:rFonts w:ascii="Times New Roman" w:hAnsi="Times New Roman"/>
              </w:rPr>
              <w:t>R.N.</w:t>
            </w:r>
            <w:r w:rsidR="008F2D48" w:rsidRPr="009508FE">
              <w:rPr>
                <w:rFonts w:ascii="Times New Roman" w:hAnsi="Times New Roman"/>
              </w:rPr>
              <w:t xml:space="preserve"> </w:t>
            </w:r>
            <w:r w:rsidRPr="009508FE">
              <w:rPr>
                <w:rFonts w:ascii="Times New Roman" w:hAnsi="Times New Roman"/>
              </w:rPr>
              <w:t>Dei Colli</w:t>
            </w:r>
          </w:p>
          <w:p w:rsidR="009508FE" w:rsidRPr="009508FE" w:rsidRDefault="009508FE" w:rsidP="009508FE">
            <w:pPr>
              <w:pBdr>
                <w:top w:val="nil"/>
                <w:left w:val="nil"/>
                <w:bottom w:val="nil"/>
                <w:right w:val="nil"/>
                <w:between w:val="nil"/>
              </w:pBdr>
              <w:spacing w:before="53"/>
              <w:rPr>
                <w:rFonts w:ascii="Times New Roman" w:hAnsi="Times New Roman"/>
              </w:rPr>
            </w:pPr>
            <w:r w:rsidRPr="009508FE">
              <w:rPr>
                <w:rFonts w:ascii="Times New Roman" w:hAnsi="Times New Roman"/>
              </w:rPr>
              <w:t>Cesare Gridelli, A.O.</w:t>
            </w:r>
            <w:r w:rsidR="00721008">
              <w:rPr>
                <w:rFonts w:ascii="Times New Roman" w:hAnsi="Times New Roman"/>
              </w:rPr>
              <w:t>R.N.</w:t>
            </w:r>
            <w:r w:rsidRPr="009508FE">
              <w:rPr>
                <w:rFonts w:ascii="Times New Roman" w:hAnsi="Times New Roman"/>
              </w:rPr>
              <w:t xml:space="preserve"> Moscati</w:t>
            </w:r>
          </w:p>
          <w:p w:rsidR="009508FE" w:rsidRPr="009508FE" w:rsidRDefault="009508FE" w:rsidP="009508FE">
            <w:pPr>
              <w:pBdr>
                <w:top w:val="nil"/>
                <w:left w:val="nil"/>
                <w:bottom w:val="nil"/>
                <w:right w:val="nil"/>
                <w:between w:val="nil"/>
              </w:pBdr>
              <w:spacing w:before="53"/>
              <w:rPr>
                <w:rFonts w:ascii="Times New Roman" w:hAnsi="Times New Roman"/>
              </w:rPr>
            </w:pPr>
            <w:r w:rsidRPr="009508FE">
              <w:rPr>
                <w:rFonts w:ascii="Times New Roman" w:hAnsi="Times New Roman"/>
              </w:rPr>
              <w:t xml:space="preserve">Antonio </w:t>
            </w:r>
            <w:r w:rsidR="008F2D48">
              <w:rPr>
                <w:rFonts w:ascii="Times New Roman" w:hAnsi="Times New Roman"/>
              </w:rPr>
              <w:t xml:space="preserve">M. </w:t>
            </w:r>
            <w:r w:rsidRPr="009508FE">
              <w:rPr>
                <w:rFonts w:ascii="Times New Roman" w:hAnsi="Times New Roman"/>
              </w:rPr>
              <w:t xml:space="preserve">Grimaldi, </w:t>
            </w:r>
            <w:r w:rsidR="008F2D48" w:rsidRPr="009508FE">
              <w:rPr>
                <w:rFonts w:ascii="Times New Roman" w:hAnsi="Times New Roman"/>
              </w:rPr>
              <w:t>A.O.</w:t>
            </w:r>
            <w:r w:rsidR="008F2D48">
              <w:rPr>
                <w:rFonts w:ascii="Times New Roman" w:hAnsi="Times New Roman"/>
              </w:rPr>
              <w:t>R.N.</w:t>
            </w:r>
            <w:r w:rsidR="008F2D48" w:rsidRPr="009508FE">
              <w:rPr>
                <w:rFonts w:ascii="Times New Roman" w:hAnsi="Times New Roman"/>
              </w:rPr>
              <w:t xml:space="preserve"> </w:t>
            </w:r>
            <w:r w:rsidRPr="009508FE">
              <w:rPr>
                <w:rFonts w:ascii="Times New Roman" w:hAnsi="Times New Roman"/>
              </w:rPr>
              <w:t>San Pio</w:t>
            </w:r>
          </w:p>
          <w:p w:rsidR="009508FE" w:rsidRPr="009508FE" w:rsidRDefault="009508FE" w:rsidP="009508FE">
            <w:pPr>
              <w:pBdr>
                <w:top w:val="nil"/>
                <w:left w:val="nil"/>
                <w:bottom w:val="nil"/>
                <w:right w:val="nil"/>
                <w:between w:val="nil"/>
              </w:pBdr>
              <w:spacing w:before="53"/>
              <w:rPr>
                <w:rFonts w:ascii="Times New Roman" w:hAnsi="Times New Roman"/>
              </w:rPr>
            </w:pPr>
            <w:r w:rsidRPr="009508FE">
              <w:rPr>
                <w:rFonts w:ascii="Times New Roman" w:hAnsi="Times New Roman"/>
              </w:rPr>
              <w:t xml:space="preserve">Michele Orditura, </w:t>
            </w:r>
            <w:r w:rsidR="008F2D48" w:rsidRPr="009508FE">
              <w:rPr>
                <w:rFonts w:ascii="Times New Roman" w:hAnsi="Times New Roman"/>
              </w:rPr>
              <w:t>A.O.</w:t>
            </w:r>
            <w:r w:rsidR="008F2D48">
              <w:rPr>
                <w:rFonts w:ascii="Times New Roman" w:hAnsi="Times New Roman"/>
              </w:rPr>
              <w:t>R.N.</w:t>
            </w:r>
            <w:r w:rsidR="008F2D48" w:rsidRPr="009508FE">
              <w:rPr>
                <w:rFonts w:ascii="Times New Roman" w:hAnsi="Times New Roman"/>
              </w:rPr>
              <w:t xml:space="preserve"> </w:t>
            </w:r>
            <w:r w:rsidRPr="009508FE">
              <w:rPr>
                <w:rFonts w:ascii="Times New Roman" w:hAnsi="Times New Roman"/>
              </w:rPr>
              <w:t>S. Anna S. Sebastiano</w:t>
            </w:r>
          </w:p>
          <w:p w:rsidR="009508FE" w:rsidRPr="009508FE" w:rsidRDefault="009508FE" w:rsidP="009508FE">
            <w:pPr>
              <w:pBdr>
                <w:top w:val="nil"/>
                <w:left w:val="nil"/>
                <w:bottom w:val="nil"/>
                <w:right w:val="nil"/>
                <w:between w:val="nil"/>
              </w:pBdr>
              <w:spacing w:before="53"/>
              <w:rPr>
                <w:rFonts w:ascii="Times New Roman" w:hAnsi="Times New Roman"/>
              </w:rPr>
            </w:pPr>
            <w:r w:rsidRPr="009508FE">
              <w:rPr>
                <w:rFonts w:ascii="Times New Roman" w:hAnsi="Times New Roman"/>
              </w:rPr>
              <w:t>Fortunato Ciardiello, A.O.U. Luigi Vanvitelli</w:t>
            </w:r>
          </w:p>
          <w:p w:rsidR="009508FE" w:rsidRPr="009508FE" w:rsidRDefault="009508FE" w:rsidP="009508FE">
            <w:pPr>
              <w:pBdr>
                <w:top w:val="nil"/>
                <w:left w:val="nil"/>
                <w:bottom w:val="nil"/>
                <w:right w:val="nil"/>
                <w:between w:val="nil"/>
              </w:pBdr>
              <w:spacing w:before="53"/>
              <w:rPr>
                <w:rFonts w:ascii="Times New Roman" w:hAnsi="Times New Roman"/>
              </w:rPr>
            </w:pPr>
            <w:r w:rsidRPr="009508FE">
              <w:rPr>
                <w:rFonts w:ascii="Times New Roman" w:hAnsi="Times New Roman"/>
              </w:rPr>
              <w:t>Stefano Pepe, A.O.U. Ruggi</w:t>
            </w:r>
          </w:p>
          <w:p w:rsidR="009508FE" w:rsidRPr="009508FE" w:rsidRDefault="009508FE" w:rsidP="009508FE">
            <w:pPr>
              <w:pBdr>
                <w:top w:val="nil"/>
                <w:left w:val="nil"/>
                <w:bottom w:val="nil"/>
                <w:right w:val="nil"/>
                <w:between w:val="nil"/>
              </w:pBdr>
              <w:spacing w:before="53"/>
              <w:rPr>
                <w:rFonts w:ascii="Times New Roman" w:hAnsi="Times New Roman"/>
              </w:rPr>
            </w:pPr>
            <w:r w:rsidRPr="009508FE">
              <w:rPr>
                <w:rFonts w:ascii="Times New Roman" w:hAnsi="Times New Roman"/>
              </w:rPr>
              <w:t>Bruno Daniele, Ospedale del Mare</w:t>
            </w:r>
          </w:p>
          <w:p w:rsidR="009508FE" w:rsidRPr="009508FE" w:rsidRDefault="009508FE" w:rsidP="009508FE">
            <w:pPr>
              <w:pBdr>
                <w:top w:val="nil"/>
                <w:left w:val="nil"/>
                <w:bottom w:val="nil"/>
                <w:right w:val="nil"/>
                <w:between w:val="nil"/>
              </w:pBdr>
              <w:spacing w:before="53"/>
              <w:rPr>
                <w:rFonts w:ascii="Times New Roman" w:hAnsi="Times New Roman"/>
              </w:rPr>
            </w:pPr>
            <w:r w:rsidRPr="009508FE">
              <w:rPr>
                <w:rFonts w:ascii="Times New Roman" w:hAnsi="Times New Roman"/>
              </w:rPr>
              <w:t xml:space="preserve">Roberto Bianco, </w:t>
            </w:r>
            <w:r w:rsidR="008F2D48">
              <w:rPr>
                <w:rFonts w:ascii="Times New Roman" w:hAnsi="Times New Roman"/>
              </w:rPr>
              <w:t xml:space="preserve">A.O.U. </w:t>
            </w:r>
            <w:r w:rsidRPr="009508FE">
              <w:rPr>
                <w:rFonts w:ascii="Times New Roman" w:hAnsi="Times New Roman"/>
              </w:rPr>
              <w:t>Federico II</w:t>
            </w:r>
          </w:p>
          <w:p w:rsidR="009508FE" w:rsidRPr="009508FE" w:rsidRDefault="008F2D48" w:rsidP="009508FE">
            <w:pPr>
              <w:pBdr>
                <w:top w:val="nil"/>
                <w:left w:val="nil"/>
                <w:bottom w:val="nil"/>
                <w:right w:val="nil"/>
                <w:between w:val="nil"/>
              </w:pBdr>
              <w:spacing w:before="53"/>
              <w:rPr>
                <w:rFonts w:ascii="Times New Roman" w:hAnsi="Times New Roman"/>
              </w:rPr>
            </w:pPr>
            <w:r>
              <w:rPr>
                <w:rFonts w:ascii="Times New Roman" w:hAnsi="Times New Roman"/>
              </w:rPr>
              <w:t xml:space="preserve">Gaetano Facchini, </w:t>
            </w:r>
            <w:r w:rsidR="009508FE" w:rsidRPr="009508FE">
              <w:rPr>
                <w:rFonts w:ascii="Times New Roman" w:hAnsi="Times New Roman"/>
              </w:rPr>
              <w:t xml:space="preserve">Ospedale Santa Maria delle Grazie Pozzuoli </w:t>
            </w:r>
          </w:p>
          <w:p w:rsidR="009508FE" w:rsidRPr="009508FE" w:rsidRDefault="009508FE" w:rsidP="009508FE">
            <w:pPr>
              <w:pBdr>
                <w:top w:val="nil"/>
                <w:left w:val="nil"/>
                <w:bottom w:val="nil"/>
                <w:right w:val="nil"/>
                <w:between w:val="nil"/>
              </w:pBdr>
              <w:spacing w:before="53"/>
              <w:rPr>
                <w:rFonts w:ascii="Times New Roman" w:hAnsi="Times New Roman"/>
              </w:rPr>
            </w:pPr>
            <w:r w:rsidRPr="009508FE">
              <w:rPr>
                <w:rFonts w:ascii="Times New Roman" w:hAnsi="Times New Roman"/>
              </w:rPr>
              <w:t>Bruno Marra e Rodolfo Cangiano, ASL Caserta</w:t>
            </w:r>
          </w:p>
          <w:p w:rsidR="009508FE" w:rsidRPr="009508FE" w:rsidRDefault="009508FE" w:rsidP="009508FE">
            <w:pPr>
              <w:pBdr>
                <w:top w:val="nil"/>
                <w:left w:val="nil"/>
                <w:bottom w:val="nil"/>
                <w:right w:val="nil"/>
                <w:between w:val="nil"/>
              </w:pBdr>
              <w:spacing w:before="53"/>
              <w:rPr>
                <w:rFonts w:ascii="Times New Roman" w:hAnsi="Times New Roman"/>
              </w:rPr>
            </w:pPr>
            <w:r w:rsidRPr="009508FE">
              <w:rPr>
                <w:rFonts w:ascii="Times New Roman" w:hAnsi="Times New Roman"/>
              </w:rPr>
              <w:t>Filomena Sibilio, ASL Napoli 2 Nord</w:t>
            </w:r>
          </w:p>
          <w:p w:rsidR="009508FE" w:rsidRPr="009508FE" w:rsidRDefault="009508FE" w:rsidP="009508FE">
            <w:pPr>
              <w:pBdr>
                <w:top w:val="nil"/>
                <w:left w:val="nil"/>
                <w:bottom w:val="nil"/>
                <w:right w:val="nil"/>
                <w:between w:val="nil"/>
              </w:pBdr>
              <w:spacing w:before="53"/>
              <w:rPr>
                <w:rFonts w:ascii="Times New Roman" w:hAnsi="Times New Roman"/>
              </w:rPr>
            </w:pPr>
            <w:r w:rsidRPr="009508FE">
              <w:rPr>
                <w:rFonts w:ascii="Times New Roman" w:hAnsi="Times New Roman"/>
              </w:rPr>
              <w:t>Gino Leo, ASL Napoli 3 Sud</w:t>
            </w:r>
          </w:p>
          <w:p w:rsidR="009508FE" w:rsidRPr="009508FE" w:rsidRDefault="009508FE" w:rsidP="009508FE">
            <w:pPr>
              <w:pBdr>
                <w:top w:val="nil"/>
                <w:left w:val="nil"/>
                <w:bottom w:val="nil"/>
                <w:right w:val="nil"/>
                <w:between w:val="nil"/>
              </w:pBdr>
              <w:spacing w:before="53"/>
              <w:rPr>
                <w:rFonts w:ascii="Times New Roman" w:hAnsi="Times New Roman"/>
              </w:rPr>
            </w:pPr>
            <w:r w:rsidRPr="009508FE">
              <w:rPr>
                <w:rFonts w:ascii="Times New Roman" w:hAnsi="Times New Roman"/>
              </w:rPr>
              <w:t>Giuseppe Di Lorenzo, ASL Salerno</w:t>
            </w:r>
          </w:p>
          <w:p w:rsidR="009508FE" w:rsidRPr="009508FE" w:rsidRDefault="009508FE" w:rsidP="009508FE">
            <w:pPr>
              <w:pBdr>
                <w:top w:val="nil"/>
                <w:left w:val="nil"/>
                <w:bottom w:val="nil"/>
                <w:right w:val="nil"/>
                <w:between w:val="nil"/>
              </w:pBdr>
              <w:spacing w:before="53"/>
              <w:rPr>
                <w:rFonts w:ascii="Times New Roman" w:hAnsi="Times New Roman"/>
              </w:rPr>
            </w:pPr>
            <w:r w:rsidRPr="009508FE">
              <w:rPr>
                <w:rFonts w:ascii="Times New Roman" w:hAnsi="Times New Roman"/>
              </w:rPr>
              <w:t>Tiziana Spinosa, ASL Napoli 1 Centro</w:t>
            </w:r>
          </w:p>
          <w:p w:rsidR="009508FE" w:rsidRPr="009508FE" w:rsidRDefault="009508FE" w:rsidP="009508FE">
            <w:pPr>
              <w:pBdr>
                <w:top w:val="nil"/>
                <w:left w:val="nil"/>
                <w:bottom w:val="nil"/>
                <w:right w:val="nil"/>
                <w:between w:val="nil"/>
              </w:pBdr>
              <w:spacing w:before="53"/>
              <w:rPr>
                <w:rFonts w:ascii="Times New Roman" w:hAnsi="Times New Roman"/>
              </w:rPr>
            </w:pPr>
            <w:r w:rsidRPr="009508FE">
              <w:rPr>
                <w:rFonts w:ascii="Times New Roman" w:hAnsi="Times New Roman"/>
              </w:rPr>
              <w:t>Elena Fossi, ASL Benevento</w:t>
            </w:r>
          </w:p>
          <w:p w:rsidR="003F6D44" w:rsidRPr="003F6D44" w:rsidRDefault="009508FE" w:rsidP="009508FE">
            <w:pPr>
              <w:pBdr>
                <w:top w:val="nil"/>
                <w:left w:val="nil"/>
                <w:bottom w:val="nil"/>
                <w:right w:val="nil"/>
                <w:between w:val="nil"/>
              </w:pBdr>
              <w:spacing w:before="53" w:line="276" w:lineRule="auto"/>
              <w:rPr>
                <w:rFonts w:ascii="Times New Roman" w:hAnsi="Times New Roman"/>
                <w:color w:val="000000"/>
              </w:rPr>
            </w:pPr>
            <w:r w:rsidRPr="009508FE">
              <w:rPr>
                <w:rFonts w:ascii="Times New Roman" w:hAnsi="Times New Roman"/>
              </w:rPr>
              <w:t>Geppino Genua, ASL Avellino</w:t>
            </w:r>
          </w:p>
        </w:tc>
      </w:tr>
      <w:tr w:rsidR="003F6D44" w:rsidRPr="003F6D44" w:rsidTr="008F2D48">
        <w:trPr>
          <w:trHeight w:val="737"/>
        </w:trPr>
        <w:tc>
          <w:tcPr>
            <w:tcW w:w="3964" w:type="dxa"/>
            <w:shd w:val="clear" w:color="auto" w:fill="auto"/>
          </w:tcPr>
          <w:p w:rsidR="003F6D44" w:rsidRPr="003F6D44" w:rsidRDefault="003F6D44" w:rsidP="004F1EC1">
            <w:pPr>
              <w:pBdr>
                <w:top w:val="nil"/>
                <w:left w:val="nil"/>
                <w:bottom w:val="nil"/>
                <w:right w:val="nil"/>
                <w:between w:val="nil"/>
              </w:pBdr>
              <w:spacing w:line="276" w:lineRule="auto"/>
              <w:rPr>
                <w:rFonts w:ascii="Times New Roman" w:hAnsi="Times New Roman"/>
                <w:color w:val="000000"/>
              </w:rPr>
            </w:pPr>
            <w:r w:rsidRPr="003F6D44">
              <w:rPr>
                <w:rFonts w:ascii="Times New Roman" w:hAnsi="Times New Roman"/>
                <w:color w:val="000000"/>
              </w:rPr>
              <w:t>Terza valutazione</w:t>
            </w:r>
          </w:p>
        </w:tc>
        <w:tc>
          <w:tcPr>
            <w:tcW w:w="5658" w:type="dxa"/>
            <w:shd w:val="clear" w:color="auto" w:fill="auto"/>
          </w:tcPr>
          <w:p w:rsidR="003F6D44" w:rsidRPr="003F6D44" w:rsidRDefault="003F6D44" w:rsidP="004F1EC1">
            <w:pPr>
              <w:pBdr>
                <w:top w:val="nil"/>
                <w:left w:val="nil"/>
                <w:bottom w:val="nil"/>
                <w:right w:val="nil"/>
                <w:between w:val="nil"/>
              </w:pBdr>
              <w:spacing w:before="1" w:line="276" w:lineRule="auto"/>
              <w:rPr>
                <w:rFonts w:ascii="Times New Roman" w:hAnsi="Times New Roman"/>
                <w:color w:val="000000"/>
              </w:rPr>
            </w:pPr>
            <w:r w:rsidRPr="003F6D44">
              <w:rPr>
                <w:rFonts w:ascii="Times New Roman" w:hAnsi="Times New Roman"/>
                <w:color w:val="000000"/>
              </w:rPr>
              <w:t>Componenti dei team multidisciplinari nei CORP-CORPUS e ASL identificati dai referenti della ROC</w:t>
            </w:r>
          </w:p>
        </w:tc>
      </w:tr>
      <w:tr w:rsidR="003F6D44" w:rsidRPr="003F6D44" w:rsidTr="008F2D48">
        <w:tc>
          <w:tcPr>
            <w:tcW w:w="3964" w:type="dxa"/>
            <w:shd w:val="clear" w:color="auto" w:fill="auto"/>
          </w:tcPr>
          <w:p w:rsidR="003F6D44" w:rsidRPr="003F6D44" w:rsidRDefault="003F6D44" w:rsidP="004F1EC1">
            <w:pPr>
              <w:pBdr>
                <w:top w:val="nil"/>
                <w:left w:val="nil"/>
                <w:bottom w:val="nil"/>
                <w:right w:val="nil"/>
                <w:between w:val="nil"/>
              </w:pBdr>
              <w:spacing w:line="276" w:lineRule="auto"/>
              <w:rPr>
                <w:rFonts w:ascii="Times New Roman" w:hAnsi="Times New Roman"/>
                <w:color w:val="000000"/>
              </w:rPr>
            </w:pPr>
            <w:r w:rsidRPr="003F6D44">
              <w:rPr>
                <w:rFonts w:ascii="Times New Roman" w:hAnsi="Times New Roman"/>
                <w:color w:val="000000"/>
              </w:rPr>
              <w:t>Note Epidemiologiche</w:t>
            </w:r>
          </w:p>
        </w:tc>
        <w:tc>
          <w:tcPr>
            <w:tcW w:w="5658" w:type="dxa"/>
            <w:shd w:val="clear" w:color="auto" w:fill="auto"/>
          </w:tcPr>
          <w:p w:rsidR="003F6D44" w:rsidRPr="003F6D44" w:rsidRDefault="003F6D44" w:rsidP="002F603D">
            <w:pPr>
              <w:pBdr>
                <w:top w:val="nil"/>
                <w:left w:val="nil"/>
                <w:bottom w:val="nil"/>
                <w:right w:val="nil"/>
                <w:between w:val="nil"/>
              </w:pBdr>
              <w:spacing w:line="276" w:lineRule="auto"/>
              <w:rPr>
                <w:rFonts w:ascii="Times New Roman" w:hAnsi="Times New Roman"/>
                <w:color w:val="000000"/>
              </w:rPr>
            </w:pPr>
            <w:r w:rsidRPr="003F6D44">
              <w:rPr>
                <w:rFonts w:ascii="Times New Roman" w:hAnsi="Times New Roman"/>
                <w:color w:val="000000"/>
              </w:rPr>
              <w:t xml:space="preserve">M. Fusco: </w:t>
            </w:r>
            <w:r w:rsidR="002F603D">
              <w:rPr>
                <w:rFonts w:ascii="Times New Roman" w:hAnsi="Times New Roman"/>
                <w:color w:val="000000"/>
              </w:rPr>
              <w:t>ASL NA 3 SUD, Mmebro Direttivo AIRTUM</w:t>
            </w:r>
          </w:p>
        </w:tc>
      </w:tr>
      <w:tr w:rsidR="003F6D44" w:rsidRPr="003F6D44" w:rsidTr="008F2D48">
        <w:tc>
          <w:tcPr>
            <w:tcW w:w="3964" w:type="dxa"/>
            <w:shd w:val="clear" w:color="auto" w:fill="auto"/>
          </w:tcPr>
          <w:p w:rsidR="003F6D44" w:rsidRPr="003F6D44" w:rsidRDefault="003F6D44" w:rsidP="004F1EC1">
            <w:pPr>
              <w:pBdr>
                <w:top w:val="nil"/>
                <w:left w:val="nil"/>
                <w:bottom w:val="nil"/>
                <w:right w:val="nil"/>
                <w:between w:val="nil"/>
              </w:pBdr>
              <w:spacing w:line="276" w:lineRule="auto"/>
              <w:rPr>
                <w:rFonts w:ascii="Times New Roman" w:hAnsi="Times New Roman"/>
                <w:color w:val="000000"/>
              </w:rPr>
            </w:pPr>
            <w:r w:rsidRPr="003F6D44">
              <w:rPr>
                <w:rFonts w:ascii="Times New Roman" w:hAnsi="Times New Roman"/>
                <w:color w:val="000000"/>
              </w:rPr>
              <w:t>Associazioni pazienti</w:t>
            </w:r>
          </w:p>
        </w:tc>
        <w:tc>
          <w:tcPr>
            <w:tcW w:w="5658" w:type="dxa"/>
            <w:shd w:val="clear" w:color="auto" w:fill="auto"/>
          </w:tcPr>
          <w:p w:rsidR="003F6D44" w:rsidRPr="003F6D44" w:rsidRDefault="003F6D44" w:rsidP="004F1EC1">
            <w:pPr>
              <w:pBdr>
                <w:top w:val="nil"/>
                <w:left w:val="nil"/>
                <w:bottom w:val="nil"/>
                <w:right w:val="nil"/>
                <w:between w:val="nil"/>
              </w:pBdr>
              <w:spacing w:line="276" w:lineRule="auto"/>
              <w:rPr>
                <w:rFonts w:ascii="Times New Roman" w:hAnsi="Times New Roman"/>
                <w:color w:val="000000"/>
              </w:rPr>
            </w:pPr>
            <w:r w:rsidRPr="003F6D44">
              <w:rPr>
                <w:rFonts w:ascii="Times New Roman" w:hAnsi="Times New Roman"/>
                <w:color w:val="000000"/>
              </w:rPr>
              <w:t>FAVO</w:t>
            </w:r>
          </w:p>
        </w:tc>
      </w:tr>
      <w:tr w:rsidR="003F6D44" w:rsidRPr="003F6D44" w:rsidTr="008F2D48">
        <w:tc>
          <w:tcPr>
            <w:tcW w:w="3964" w:type="dxa"/>
            <w:shd w:val="clear" w:color="auto" w:fill="auto"/>
          </w:tcPr>
          <w:p w:rsidR="003F6D44" w:rsidRPr="003F6D44" w:rsidRDefault="003F6D44" w:rsidP="004F1EC1">
            <w:pPr>
              <w:pBdr>
                <w:top w:val="nil"/>
                <w:left w:val="nil"/>
                <w:bottom w:val="nil"/>
                <w:right w:val="nil"/>
                <w:between w:val="nil"/>
              </w:pBdr>
              <w:spacing w:before="1" w:line="276" w:lineRule="auto"/>
              <w:rPr>
                <w:rFonts w:ascii="Times New Roman" w:hAnsi="Times New Roman"/>
                <w:color w:val="000000"/>
              </w:rPr>
            </w:pPr>
            <w:r w:rsidRPr="003F6D44">
              <w:rPr>
                <w:rFonts w:ascii="Times New Roman" w:hAnsi="Times New Roman"/>
                <w:color w:val="000000"/>
              </w:rPr>
              <w:t>Società Scientifiche</w:t>
            </w:r>
          </w:p>
        </w:tc>
        <w:tc>
          <w:tcPr>
            <w:tcW w:w="5658" w:type="dxa"/>
            <w:shd w:val="clear" w:color="auto" w:fill="auto"/>
          </w:tcPr>
          <w:p w:rsidR="003F6D44" w:rsidRPr="003F6D44" w:rsidRDefault="003F6D44" w:rsidP="004F1EC1">
            <w:pPr>
              <w:pBdr>
                <w:top w:val="nil"/>
                <w:left w:val="nil"/>
                <w:bottom w:val="nil"/>
                <w:right w:val="nil"/>
                <w:between w:val="nil"/>
              </w:pBdr>
              <w:spacing w:line="276" w:lineRule="auto"/>
              <w:rPr>
                <w:rFonts w:ascii="Times New Roman" w:hAnsi="Times New Roman"/>
                <w:color w:val="000000"/>
              </w:rPr>
            </w:pPr>
            <w:r w:rsidRPr="003F6D44">
              <w:rPr>
                <w:rFonts w:ascii="Times New Roman" w:hAnsi="Times New Roman"/>
                <w:color w:val="000000"/>
              </w:rPr>
              <w:t>Rappresentanze regionali AIOM (R.Bianco), CIPOMO (C. Savastano), SIMG (G.Piccinocchi)</w:t>
            </w:r>
          </w:p>
        </w:tc>
      </w:tr>
      <w:tr w:rsidR="00721008" w:rsidRPr="003F6D44" w:rsidTr="008F2D48">
        <w:tc>
          <w:tcPr>
            <w:tcW w:w="3964" w:type="dxa"/>
            <w:shd w:val="clear" w:color="auto" w:fill="auto"/>
          </w:tcPr>
          <w:p w:rsidR="00721008" w:rsidRPr="003F6D44" w:rsidRDefault="00721008" w:rsidP="004F1EC1">
            <w:pPr>
              <w:pBdr>
                <w:top w:val="nil"/>
                <w:left w:val="nil"/>
                <w:bottom w:val="nil"/>
                <w:right w:val="nil"/>
                <w:between w:val="nil"/>
              </w:pBdr>
              <w:spacing w:before="1" w:line="276" w:lineRule="auto"/>
              <w:rPr>
                <w:rFonts w:ascii="Times New Roman" w:hAnsi="Times New Roman"/>
                <w:color w:val="000000"/>
              </w:rPr>
            </w:pPr>
            <w:r>
              <w:rPr>
                <w:rFonts w:ascii="Times New Roman" w:hAnsi="Times New Roman"/>
                <w:color w:val="000000"/>
              </w:rPr>
              <w:t>Farmacisti revisori</w:t>
            </w:r>
          </w:p>
        </w:tc>
        <w:tc>
          <w:tcPr>
            <w:tcW w:w="5658" w:type="dxa"/>
            <w:shd w:val="clear" w:color="auto" w:fill="auto"/>
          </w:tcPr>
          <w:p w:rsidR="00721008" w:rsidRPr="003F6D44" w:rsidRDefault="00721008" w:rsidP="004F1EC1">
            <w:p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Luciana Giannelli, Nicole Mazzeo, </w:t>
            </w:r>
            <w:r w:rsidRPr="009508FE">
              <w:rPr>
                <w:rFonts w:ascii="Times New Roman" w:hAnsi="Times New Roman"/>
              </w:rPr>
              <w:t>A.O.</w:t>
            </w:r>
            <w:r>
              <w:rPr>
                <w:rFonts w:ascii="Times New Roman" w:hAnsi="Times New Roman"/>
              </w:rPr>
              <w:t>R.N.</w:t>
            </w:r>
            <w:r w:rsidRPr="009508FE">
              <w:rPr>
                <w:rFonts w:ascii="Times New Roman" w:hAnsi="Times New Roman"/>
              </w:rPr>
              <w:t xml:space="preserve"> Moscati</w:t>
            </w:r>
          </w:p>
        </w:tc>
      </w:tr>
    </w:tbl>
    <w:p w:rsidR="00FF6BDE" w:rsidRPr="003F6D44" w:rsidRDefault="00FF6BDE" w:rsidP="003F6D44">
      <w:pPr>
        <w:spacing w:line="360" w:lineRule="auto"/>
        <w:jc w:val="both"/>
        <w:rPr>
          <w:rFonts w:ascii="Times New Roman" w:hAnsi="Times New Roman"/>
        </w:rPr>
      </w:pPr>
    </w:p>
    <w:p w:rsidR="00FF6BDE" w:rsidRPr="003F6D44" w:rsidRDefault="00FF6BDE" w:rsidP="003F6D44">
      <w:pPr>
        <w:spacing w:line="360" w:lineRule="auto"/>
        <w:jc w:val="both"/>
        <w:rPr>
          <w:rFonts w:ascii="Times New Roman" w:hAnsi="Times New Roman"/>
        </w:rPr>
      </w:pPr>
    </w:p>
    <w:p w:rsidR="00FF6BDE" w:rsidRDefault="00FF6BDE" w:rsidP="003F6D44">
      <w:pPr>
        <w:spacing w:line="360" w:lineRule="auto"/>
        <w:jc w:val="both"/>
        <w:rPr>
          <w:rFonts w:ascii="Times New Roman" w:hAnsi="Times New Roman"/>
        </w:rPr>
      </w:pPr>
    </w:p>
    <w:p w:rsidR="004F1EC1" w:rsidRDefault="004F1EC1" w:rsidP="003F6D44">
      <w:pPr>
        <w:spacing w:line="360" w:lineRule="auto"/>
        <w:jc w:val="both"/>
        <w:rPr>
          <w:rFonts w:ascii="Times New Roman" w:hAnsi="Times New Roman"/>
        </w:rPr>
      </w:pPr>
    </w:p>
    <w:p w:rsidR="008F2D48" w:rsidRPr="003F6D44" w:rsidRDefault="008F2D48" w:rsidP="003F6D44">
      <w:pPr>
        <w:spacing w:line="360" w:lineRule="auto"/>
        <w:jc w:val="both"/>
        <w:rPr>
          <w:rFonts w:ascii="Times New Roman" w:hAnsi="Times New Roman"/>
        </w:rPr>
      </w:pPr>
    </w:p>
    <w:p w:rsidR="00FF6BDE" w:rsidRPr="003F6D44" w:rsidRDefault="00FF6BDE" w:rsidP="003F6D44">
      <w:pPr>
        <w:spacing w:line="360" w:lineRule="auto"/>
        <w:jc w:val="both"/>
        <w:rPr>
          <w:rFonts w:ascii="Times New Roman" w:hAnsi="Times New Roman"/>
        </w:rPr>
      </w:pPr>
    </w:p>
    <w:p w:rsidR="00FF6BDE" w:rsidRPr="003F6D44" w:rsidRDefault="00770A13" w:rsidP="003F6D44">
      <w:pPr>
        <w:suppressAutoHyphens/>
        <w:spacing w:after="200" w:line="360" w:lineRule="auto"/>
        <w:jc w:val="both"/>
        <w:textAlignment w:val="baseline"/>
        <w:rPr>
          <w:rFonts w:ascii="Times New Roman" w:eastAsia="Calibri" w:hAnsi="Times New Roman"/>
          <w:b/>
          <w:lang w:eastAsia="en-US"/>
        </w:rPr>
      </w:pPr>
      <w:r w:rsidRPr="003F6D44">
        <w:rPr>
          <w:rFonts w:ascii="Times New Roman" w:eastAsia="Calibri" w:hAnsi="Times New Roman"/>
          <w:b/>
          <w:lang w:eastAsia="en-US"/>
        </w:rPr>
        <w:t>Percorsi suggeriti dalle Associazioni Pazienti aderenti a FAVO Campania da sviluppare nella ROC prima della prossima revisione annuale del PDTA</w:t>
      </w:r>
    </w:p>
    <w:p w:rsidR="00FF6BDE" w:rsidRPr="003F6D44" w:rsidRDefault="00FF6BDE" w:rsidP="003F6D44">
      <w:pPr>
        <w:tabs>
          <w:tab w:val="left" w:pos="771"/>
        </w:tabs>
        <w:spacing w:line="360" w:lineRule="auto"/>
        <w:jc w:val="both"/>
        <w:rPr>
          <w:rFonts w:ascii="Times New Roman" w:eastAsia="Times New Roman" w:hAnsi="Times New Roman"/>
          <w:color w:val="000000"/>
        </w:rPr>
      </w:pPr>
    </w:p>
    <w:tbl>
      <w:tblPr>
        <w:tblW w:w="9783" w:type="dxa"/>
        <w:tblInd w:w="-5" w:type="dxa"/>
        <w:tblCellMar>
          <w:left w:w="10" w:type="dxa"/>
          <w:right w:w="10" w:type="dxa"/>
        </w:tblCellMar>
        <w:tblLook w:val="04A0" w:firstRow="1" w:lastRow="0" w:firstColumn="1" w:lastColumn="0" w:noHBand="0" w:noVBand="1"/>
      </w:tblPr>
      <w:tblGrid>
        <w:gridCol w:w="1701"/>
        <w:gridCol w:w="8082"/>
      </w:tblGrid>
      <w:tr w:rsidR="00FF6BDE" w:rsidRPr="003F6D44">
        <w:trPr>
          <w:trHeight w:val="56"/>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6BDE" w:rsidRPr="003F6D44" w:rsidRDefault="00770A13" w:rsidP="003F6D44">
            <w:pPr>
              <w:spacing w:after="160" w:line="360" w:lineRule="auto"/>
              <w:jc w:val="both"/>
              <w:rPr>
                <w:rFonts w:ascii="Times New Roman" w:hAnsi="Times New Roman"/>
                <w:b/>
                <w:bCs/>
                <w:color w:val="000000"/>
              </w:rPr>
            </w:pPr>
            <w:r w:rsidRPr="003F6D44">
              <w:rPr>
                <w:rFonts w:ascii="Times New Roman" w:hAnsi="Times New Roman"/>
                <w:b/>
                <w:bCs/>
                <w:color w:val="000000"/>
              </w:rPr>
              <w:t>PDTA Tiroide</w:t>
            </w:r>
          </w:p>
        </w:tc>
        <w:tc>
          <w:tcPr>
            <w:tcW w:w="8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603D" w:rsidRPr="0003182A" w:rsidRDefault="002F603D" w:rsidP="002F603D">
            <w:pPr>
              <w:pStyle w:val="Paragrafoelenco"/>
              <w:numPr>
                <w:ilvl w:val="0"/>
                <w:numId w:val="6"/>
              </w:numPr>
              <w:pBdr>
                <w:top w:val="nil"/>
                <w:left w:val="nil"/>
                <w:bottom w:val="nil"/>
                <w:right w:val="nil"/>
                <w:between w:val="nil"/>
              </w:pBdr>
              <w:spacing w:line="360" w:lineRule="auto"/>
              <w:jc w:val="both"/>
              <w:rPr>
                <w:sz w:val="24"/>
                <w:szCs w:val="24"/>
              </w:rPr>
            </w:pPr>
            <w:r w:rsidRPr="0003182A">
              <w:rPr>
                <w:rFonts w:ascii="Times New Roman" w:hAnsi="Times New Roman"/>
                <w:sz w:val="24"/>
                <w:szCs w:val="24"/>
              </w:rPr>
              <w:t xml:space="preserve">Si auspica la piena l’attuazione del percorso della R.O.C. con la costituzione della commissione del “Molecular Tumor Board” regionale, con ampia rappresentanza dei diversi stakeholders, al fine di regolamentare l’impiego dei test genomici per la medicina di precisione. </w:t>
            </w:r>
          </w:p>
          <w:p w:rsidR="002F603D" w:rsidRPr="0003182A" w:rsidRDefault="002F603D" w:rsidP="002F603D">
            <w:pPr>
              <w:pStyle w:val="Paragrafoelenco"/>
              <w:numPr>
                <w:ilvl w:val="0"/>
                <w:numId w:val="6"/>
              </w:numPr>
              <w:pBdr>
                <w:top w:val="nil"/>
                <w:left w:val="nil"/>
                <w:bottom w:val="nil"/>
                <w:right w:val="nil"/>
                <w:between w:val="nil"/>
              </w:pBdr>
              <w:spacing w:line="360" w:lineRule="auto"/>
              <w:jc w:val="both"/>
              <w:rPr>
                <w:sz w:val="24"/>
                <w:szCs w:val="24"/>
              </w:rPr>
            </w:pPr>
            <w:r w:rsidRPr="0003182A">
              <w:rPr>
                <w:rFonts w:ascii="Times New Roman" w:hAnsi="Times New Roman"/>
                <w:sz w:val="24"/>
                <w:szCs w:val="24"/>
                <w:highlight w:val="white"/>
              </w:rPr>
              <w:t>Si auspica il pieno coinvolgimento del MMG nelle attività del GOM</w:t>
            </w:r>
          </w:p>
          <w:p w:rsidR="002F603D" w:rsidRPr="0003182A" w:rsidRDefault="002F603D" w:rsidP="002F603D">
            <w:pPr>
              <w:pStyle w:val="Paragrafoelenco"/>
              <w:numPr>
                <w:ilvl w:val="0"/>
                <w:numId w:val="6"/>
              </w:numPr>
              <w:pBdr>
                <w:top w:val="nil"/>
                <w:left w:val="nil"/>
                <w:bottom w:val="nil"/>
                <w:right w:val="nil"/>
                <w:between w:val="nil"/>
              </w:pBdr>
              <w:spacing w:line="360" w:lineRule="auto"/>
              <w:jc w:val="both"/>
              <w:rPr>
                <w:sz w:val="24"/>
                <w:szCs w:val="24"/>
              </w:rPr>
            </w:pPr>
            <w:r w:rsidRPr="0003182A">
              <w:rPr>
                <w:rFonts w:ascii="Times New Roman" w:hAnsi="Times New Roman"/>
                <w:sz w:val="24"/>
                <w:szCs w:val="24"/>
              </w:rPr>
              <w:t>Si auspica che tutti i GOM (provvedano in tempi brevi e standardizzati a garantire ai pazienti in carico, tutte le prestazioni diagnostiche</w:t>
            </w:r>
            <w:r>
              <w:rPr>
                <w:rFonts w:ascii="Times New Roman" w:hAnsi="Times New Roman"/>
                <w:sz w:val="24"/>
                <w:szCs w:val="24"/>
              </w:rPr>
              <w:t xml:space="preserve"> ambulatoriali (con impegnativa</w:t>
            </w:r>
            <w:r w:rsidRPr="0003182A">
              <w:rPr>
                <w:rFonts w:ascii="Times New Roman" w:hAnsi="Times New Roman"/>
                <w:sz w:val="24"/>
                <w:szCs w:val="24"/>
              </w:rPr>
              <w:t>) e realizzino dei percorsi dedicati per i pazienti in valutazione GOM. Questo risolverebbe in gran parte i disagi creati dal Decreto 599 del 28/12/2021, con la definizione dei tetti di spesa per i centri diagnostici accreditati.</w:t>
            </w:r>
          </w:p>
          <w:p w:rsidR="002F603D" w:rsidRPr="0003182A" w:rsidRDefault="002F603D" w:rsidP="002F603D">
            <w:pPr>
              <w:pStyle w:val="Paragrafoelenco"/>
              <w:numPr>
                <w:ilvl w:val="0"/>
                <w:numId w:val="6"/>
              </w:numPr>
              <w:pBdr>
                <w:top w:val="nil"/>
                <w:left w:val="nil"/>
                <w:bottom w:val="nil"/>
                <w:right w:val="nil"/>
                <w:between w:val="nil"/>
              </w:pBdr>
              <w:spacing w:line="360" w:lineRule="auto"/>
              <w:jc w:val="both"/>
              <w:rPr>
                <w:sz w:val="24"/>
                <w:szCs w:val="24"/>
              </w:rPr>
            </w:pPr>
            <w:r w:rsidRPr="0003182A">
              <w:rPr>
                <w:rFonts w:ascii="Times New Roman" w:hAnsi="Times New Roman"/>
                <w:sz w:val="24"/>
                <w:szCs w:val="24"/>
              </w:rPr>
              <w:t>Si auspica che tutti i Corp, Corpus e GOM della R.O.C, rendano pubblici i dati di performance sulla tempistica di erogazione dei servizi diagnostico-terapeutici-assistenziali, previsti nei PDTA.</w:t>
            </w:r>
          </w:p>
          <w:p w:rsidR="002F603D" w:rsidRPr="003E79A3" w:rsidRDefault="002F603D" w:rsidP="002F603D">
            <w:pPr>
              <w:pStyle w:val="Paragrafoelenco"/>
              <w:numPr>
                <w:ilvl w:val="0"/>
                <w:numId w:val="6"/>
              </w:numPr>
              <w:pBdr>
                <w:top w:val="nil"/>
                <w:left w:val="nil"/>
                <w:bottom w:val="nil"/>
                <w:right w:val="nil"/>
                <w:between w:val="nil"/>
              </w:pBdr>
              <w:spacing w:line="360" w:lineRule="auto"/>
              <w:jc w:val="both"/>
              <w:rPr>
                <w:sz w:val="24"/>
                <w:szCs w:val="24"/>
              </w:rPr>
            </w:pPr>
            <w:r w:rsidRPr="0003182A">
              <w:rPr>
                <w:rFonts w:ascii="Times New Roman" w:hAnsi="Times New Roman"/>
                <w:sz w:val="24"/>
                <w:szCs w:val="24"/>
              </w:rPr>
              <w:t>Si auspica una sensibile accelerazione dei setting di formazione sul corretto uso della piattaforma ROC a favore dei MMG</w:t>
            </w:r>
          </w:p>
          <w:p w:rsidR="00FF6BDE" w:rsidRPr="003F6D44" w:rsidRDefault="002F603D" w:rsidP="002F603D">
            <w:pPr>
              <w:pStyle w:val="Corpotesto"/>
              <w:numPr>
                <w:ilvl w:val="0"/>
                <w:numId w:val="6"/>
              </w:numPr>
              <w:tabs>
                <w:tab w:val="left" w:pos="851"/>
              </w:tabs>
              <w:spacing w:before="26" w:line="360" w:lineRule="auto"/>
              <w:jc w:val="both"/>
              <w:rPr>
                <w:rFonts w:cs="Times New Roman"/>
                <w:bCs/>
                <w:w w:val="90"/>
              </w:rPr>
            </w:pPr>
            <w:r w:rsidRPr="003E79A3">
              <w:t>Si auspice di Ridurre e Definire in maniera precisa le tempistiche per la diagnostica</w:t>
            </w:r>
          </w:p>
        </w:tc>
      </w:tr>
    </w:tbl>
    <w:p w:rsidR="00FF6BDE" w:rsidRPr="003F6D44" w:rsidRDefault="00FF6BDE" w:rsidP="003F6D44">
      <w:pPr>
        <w:pStyle w:val="Paragrafoelenco"/>
        <w:spacing w:after="0" w:line="360" w:lineRule="auto"/>
        <w:ind w:left="360"/>
        <w:jc w:val="both"/>
        <w:rPr>
          <w:rFonts w:ascii="Times New Roman" w:hAnsi="Times New Roman"/>
          <w:sz w:val="24"/>
          <w:szCs w:val="24"/>
        </w:rPr>
      </w:pPr>
    </w:p>
    <w:p w:rsidR="003F6D44" w:rsidRPr="003F6D44" w:rsidRDefault="003F6D44" w:rsidP="003F6D44">
      <w:pPr>
        <w:pStyle w:val="Paragrafoelenco"/>
        <w:spacing w:after="0" w:line="360" w:lineRule="auto"/>
        <w:ind w:left="360"/>
        <w:jc w:val="both"/>
        <w:rPr>
          <w:rFonts w:ascii="Times New Roman" w:hAnsi="Times New Roman"/>
          <w:sz w:val="24"/>
          <w:szCs w:val="24"/>
        </w:rPr>
      </w:pPr>
    </w:p>
    <w:p w:rsidR="003F6D44" w:rsidRDefault="003F6D44" w:rsidP="003F6D44">
      <w:pPr>
        <w:pStyle w:val="Paragrafoelenco"/>
        <w:spacing w:after="0" w:line="360" w:lineRule="auto"/>
        <w:ind w:left="360"/>
        <w:jc w:val="both"/>
        <w:rPr>
          <w:rFonts w:ascii="Times New Roman" w:hAnsi="Times New Roman"/>
          <w:sz w:val="24"/>
          <w:szCs w:val="24"/>
        </w:rPr>
      </w:pPr>
    </w:p>
    <w:p w:rsidR="004F1EC1" w:rsidRDefault="004F1EC1" w:rsidP="003F6D44">
      <w:pPr>
        <w:pStyle w:val="Paragrafoelenco"/>
        <w:spacing w:after="0" w:line="360" w:lineRule="auto"/>
        <w:ind w:left="360"/>
        <w:jc w:val="both"/>
        <w:rPr>
          <w:rFonts w:ascii="Times New Roman" w:hAnsi="Times New Roman"/>
          <w:sz w:val="24"/>
          <w:szCs w:val="24"/>
        </w:rPr>
      </w:pPr>
    </w:p>
    <w:p w:rsidR="004F1EC1" w:rsidRDefault="004F1EC1" w:rsidP="003F6D44">
      <w:pPr>
        <w:pStyle w:val="Paragrafoelenco"/>
        <w:spacing w:after="0" w:line="360" w:lineRule="auto"/>
        <w:ind w:left="360"/>
        <w:jc w:val="both"/>
        <w:rPr>
          <w:rFonts w:ascii="Times New Roman" w:hAnsi="Times New Roman"/>
          <w:sz w:val="24"/>
          <w:szCs w:val="24"/>
        </w:rPr>
      </w:pPr>
    </w:p>
    <w:p w:rsidR="004F1EC1" w:rsidRDefault="004F1EC1" w:rsidP="003F6D44">
      <w:pPr>
        <w:pStyle w:val="Paragrafoelenco"/>
        <w:spacing w:after="0" w:line="360" w:lineRule="auto"/>
        <w:ind w:left="360"/>
        <w:jc w:val="both"/>
        <w:rPr>
          <w:rFonts w:ascii="Times New Roman" w:hAnsi="Times New Roman"/>
          <w:sz w:val="24"/>
          <w:szCs w:val="24"/>
        </w:rPr>
      </w:pPr>
    </w:p>
    <w:p w:rsidR="004F1EC1" w:rsidRDefault="004F1EC1" w:rsidP="003F6D44">
      <w:pPr>
        <w:pStyle w:val="Paragrafoelenco"/>
        <w:spacing w:after="0" w:line="360" w:lineRule="auto"/>
        <w:ind w:left="360"/>
        <w:jc w:val="both"/>
        <w:rPr>
          <w:rFonts w:ascii="Times New Roman" w:hAnsi="Times New Roman"/>
          <w:sz w:val="24"/>
          <w:szCs w:val="24"/>
        </w:rPr>
      </w:pPr>
    </w:p>
    <w:p w:rsidR="004F1EC1" w:rsidRDefault="004F1EC1" w:rsidP="003F6D44">
      <w:pPr>
        <w:pStyle w:val="Paragrafoelenco"/>
        <w:spacing w:after="0" w:line="360" w:lineRule="auto"/>
        <w:ind w:left="360"/>
        <w:jc w:val="both"/>
        <w:rPr>
          <w:rFonts w:ascii="Times New Roman" w:hAnsi="Times New Roman"/>
          <w:sz w:val="24"/>
          <w:szCs w:val="24"/>
        </w:rPr>
      </w:pPr>
    </w:p>
    <w:p w:rsidR="004F1EC1" w:rsidRDefault="004F1EC1" w:rsidP="003F6D44">
      <w:pPr>
        <w:pStyle w:val="Paragrafoelenco"/>
        <w:spacing w:after="0" w:line="360" w:lineRule="auto"/>
        <w:ind w:left="360"/>
        <w:jc w:val="both"/>
        <w:rPr>
          <w:rFonts w:ascii="Times New Roman" w:hAnsi="Times New Roman"/>
          <w:sz w:val="24"/>
          <w:szCs w:val="24"/>
        </w:rPr>
      </w:pPr>
    </w:p>
    <w:p w:rsidR="004F1EC1" w:rsidRDefault="004F1EC1" w:rsidP="003F6D44">
      <w:pPr>
        <w:pStyle w:val="Paragrafoelenco"/>
        <w:spacing w:after="0" w:line="360" w:lineRule="auto"/>
        <w:ind w:left="360"/>
        <w:jc w:val="both"/>
        <w:rPr>
          <w:rFonts w:ascii="Times New Roman" w:hAnsi="Times New Roman"/>
          <w:sz w:val="24"/>
          <w:szCs w:val="24"/>
        </w:rPr>
      </w:pPr>
    </w:p>
    <w:p w:rsidR="004F1EC1" w:rsidRDefault="004F1EC1" w:rsidP="003F6D44">
      <w:pPr>
        <w:pStyle w:val="Paragrafoelenco"/>
        <w:spacing w:after="0" w:line="360" w:lineRule="auto"/>
        <w:ind w:left="360"/>
        <w:jc w:val="both"/>
        <w:rPr>
          <w:rFonts w:ascii="Times New Roman" w:hAnsi="Times New Roman"/>
          <w:sz w:val="24"/>
          <w:szCs w:val="24"/>
        </w:rPr>
      </w:pPr>
    </w:p>
    <w:p w:rsidR="004F1EC1" w:rsidRDefault="004F1EC1" w:rsidP="003F6D44">
      <w:pPr>
        <w:pStyle w:val="Paragrafoelenco"/>
        <w:spacing w:after="0" w:line="360" w:lineRule="auto"/>
        <w:ind w:left="360"/>
        <w:jc w:val="both"/>
        <w:rPr>
          <w:rFonts w:ascii="Times New Roman" w:hAnsi="Times New Roman"/>
          <w:sz w:val="24"/>
          <w:szCs w:val="24"/>
        </w:rPr>
      </w:pPr>
    </w:p>
    <w:p w:rsidR="004F1EC1" w:rsidRDefault="004F1EC1" w:rsidP="003F6D44">
      <w:pPr>
        <w:pStyle w:val="Paragrafoelenco"/>
        <w:spacing w:after="0" w:line="360" w:lineRule="auto"/>
        <w:ind w:left="360"/>
        <w:jc w:val="both"/>
        <w:rPr>
          <w:rFonts w:ascii="Times New Roman" w:hAnsi="Times New Roman"/>
          <w:sz w:val="24"/>
          <w:szCs w:val="24"/>
        </w:rPr>
      </w:pPr>
    </w:p>
    <w:p w:rsidR="004F1EC1" w:rsidRDefault="004F1EC1" w:rsidP="003F6D44">
      <w:pPr>
        <w:pStyle w:val="Paragrafoelenco"/>
        <w:spacing w:after="0" w:line="360" w:lineRule="auto"/>
        <w:ind w:left="360"/>
        <w:jc w:val="both"/>
        <w:rPr>
          <w:rFonts w:ascii="Times New Roman" w:hAnsi="Times New Roman"/>
          <w:sz w:val="24"/>
          <w:szCs w:val="24"/>
        </w:rPr>
      </w:pPr>
    </w:p>
    <w:p w:rsidR="004F1EC1" w:rsidRDefault="004F1EC1" w:rsidP="003F6D44">
      <w:pPr>
        <w:pStyle w:val="Paragrafoelenco"/>
        <w:spacing w:after="0" w:line="360" w:lineRule="auto"/>
        <w:ind w:left="360"/>
        <w:jc w:val="both"/>
        <w:rPr>
          <w:rFonts w:ascii="Times New Roman" w:hAnsi="Times New Roman"/>
          <w:sz w:val="24"/>
          <w:szCs w:val="24"/>
        </w:rPr>
      </w:pPr>
    </w:p>
    <w:p w:rsidR="004F1EC1" w:rsidRDefault="004F1EC1" w:rsidP="003F6D44">
      <w:pPr>
        <w:pStyle w:val="Paragrafoelenco"/>
        <w:spacing w:after="0" w:line="360" w:lineRule="auto"/>
        <w:ind w:left="360"/>
        <w:jc w:val="both"/>
        <w:rPr>
          <w:rFonts w:ascii="Times New Roman" w:hAnsi="Times New Roman"/>
          <w:sz w:val="24"/>
          <w:szCs w:val="24"/>
        </w:rPr>
      </w:pPr>
    </w:p>
    <w:p w:rsidR="004F1EC1" w:rsidRDefault="004F1EC1" w:rsidP="003F6D44">
      <w:pPr>
        <w:pStyle w:val="Paragrafoelenco"/>
        <w:spacing w:after="0" w:line="360" w:lineRule="auto"/>
        <w:ind w:left="360"/>
        <w:jc w:val="both"/>
        <w:rPr>
          <w:rFonts w:ascii="Times New Roman" w:hAnsi="Times New Roman"/>
          <w:sz w:val="24"/>
          <w:szCs w:val="24"/>
        </w:rPr>
      </w:pPr>
    </w:p>
    <w:p w:rsidR="004F1EC1" w:rsidRPr="003F6D44" w:rsidRDefault="004F1EC1" w:rsidP="003F6D44">
      <w:pPr>
        <w:pStyle w:val="Paragrafoelenco"/>
        <w:spacing w:after="0" w:line="360" w:lineRule="auto"/>
        <w:ind w:left="360"/>
        <w:jc w:val="both"/>
        <w:rPr>
          <w:rFonts w:ascii="Times New Roman" w:hAnsi="Times New Roman"/>
          <w:sz w:val="24"/>
          <w:szCs w:val="24"/>
        </w:rPr>
      </w:pPr>
    </w:p>
    <w:p w:rsidR="003F6D44" w:rsidRDefault="003F6D44" w:rsidP="003F6D44">
      <w:pPr>
        <w:spacing w:before="84" w:line="360" w:lineRule="auto"/>
        <w:ind w:left="302"/>
        <w:jc w:val="both"/>
        <w:rPr>
          <w:rFonts w:ascii="Times New Roman" w:hAnsi="Times New Roman"/>
          <w:b/>
        </w:rPr>
      </w:pPr>
      <w:r w:rsidRPr="003F6D44">
        <w:rPr>
          <w:rFonts w:ascii="Times New Roman" w:hAnsi="Times New Roman"/>
          <w:b/>
        </w:rPr>
        <w:t>Il decreto n.477 del 04/11/2021 attuato con Delibera n.272 del 07/06/2022 ha definito i “Target di intervento” per patologia</w:t>
      </w:r>
    </w:p>
    <w:p w:rsidR="004F1EC1" w:rsidRPr="003F6D44" w:rsidRDefault="004F1EC1" w:rsidP="003F6D44">
      <w:pPr>
        <w:spacing w:before="84" w:line="360" w:lineRule="auto"/>
        <w:ind w:left="302"/>
        <w:jc w:val="both"/>
        <w:rPr>
          <w:rFonts w:ascii="Times New Roman" w:hAnsi="Times New Roman"/>
          <w:b/>
        </w:rPr>
      </w:pPr>
      <w:r w:rsidRPr="003F6D44">
        <w:rPr>
          <w:rFonts w:ascii="Times New Roman" w:hAnsi="Times New Roman"/>
          <w:noProof/>
          <w:color w:val="000000"/>
          <w:lang w:eastAsia="it-IT"/>
        </w:rPr>
        <w:drawing>
          <wp:inline distT="0" distB="0" distL="0" distR="0" wp14:anchorId="49873A63" wp14:editId="63D7B690">
            <wp:extent cx="5553718" cy="6258884"/>
            <wp:effectExtent l="0" t="0" r="8890"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56987" cy="6262568"/>
                    </a:xfrm>
                    <a:prstGeom prst="rect">
                      <a:avLst/>
                    </a:prstGeom>
                    <a:noFill/>
                  </pic:spPr>
                </pic:pic>
              </a:graphicData>
            </a:graphic>
          </wp:inline>
        </w:drawing>
      </w: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Bdr>
          <w:top w:val="nil"/>
          <w:left w:val="nil"/>
          <w:bottom w:val="nil"/>
          <w:right w:val="nil"/>
          <w:between w:val="nil"/>
        </w:pBdr>
        <w:spacing w:line="360" w:lineRule="auto"/>
        <w:jc w:val="both"/>
        <w:rPr>
          <w:rFonts w:ascii="Times New Roman" w:hAnsi="Times New Roman"/>
          <w:color w:val="000000"/>
        </w:rPr>
      </w:pPr>
    </w:p>
    <w:p w:rsidR="003F6D44" w:rsidRPr="003F6D44" w:rsidRDefault="003F6D44" w:rsidP="003F6D44">
      <w:pPr>
        <w:pStyle w:val="Paragrafoelenco"/>
        <w:spacing w:after="0" w:line="360" w:lineRule="auto"/>
        <w:ind w:left="360"/>
        <w:jc w:val="both"/>
        <w:rPr>
          <w:rFonts w:ascii="Times New Roman" w:hAnsi="Times New Roman"/>
          <w:sz w:val="24"/>
          <w:szCs w:val="24"/>
        </w:rPr>
      </w:pPr>
    </w:p>
    <w:sectPr w:rsidR="003F6D44" w:rsidRPr="003F6D44">
      <w:headerReference w:type="default" r:id="rId56"/>
      <w:footerReference w:type="even" r:id="rId57"/>
      <w:footerReference w:type="default" r:id="rId58"/>
      <w:pgSz w:w="11900" w:h="16840"/>
      <w:pgMar w:top="1417" w:right="1134" w:bottom="284" w:left="1134" w:header="51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25B" w:rsidRDefault="00F3725B">
      <w:r>
        <w:separator/>
      </w:r>
    </w:p>
  </w:endnote>
  <w:endnote w:type="continuationSeparator" w:id="0">
    <w:p w:rsidR="00F3725B" w:rsidRDefault="00F37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nionPro-Regular">
    <w:altName w:val="MS Gothic"/>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BFC" w:rsidRDefault="000E7BFC">
    <w:pPr>
      <w:pStyle w:val="Pidipagina"/>
      <w:framePr w:wrap="auto"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17</w:t>
    </w:r>
    <w:r>
      <w:rPr>
        <w:rStyle w:val="Numeropagina"/>
      </w:rPr>
      <w:fldChar w:fldCharType="end"/>
    </w:r>
  </w:p>
  <w:p w:rsidR="000E7BFC" w:rsidRDefault="000E7BFC">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BFC" w:rsidRDefault="000E7BFC">
    <w:pPr>
      <w:pStyle w:val="Pidipagina"/>
      <w:framePr w:wrap="auto" w:vAnchor="text" w:hAnchor="margin" w:xAlign="right" w:y="1"/>
      <w:rPr>
        <w:rStyle w:val="Numeropagina"/>
        <w:rFonts w:ascii="Times New Roman" w:hAnsi="Times New Roman"/>
      </w:rPr>
    </w:pPr>
    <w:r>
      <w:rPr>
        <w:rStyle w:val="Numeropagina"/>
        <w:rFonts w:ascii="Times New Roman" w:hAnsi="Times New Roman"/>
      </w:rPr>
      <w:fldChar w:fldCharType="begin"/>
    </w:r>
    <w:r>
      <w:rPr>
        <w:rStyle w:val="Numeropagina"/>
        <w:rFonts w:ascii="Times New Roman" w:hAnsi="Times New Roman"/>
      </w:rPr>
      <w:instrText xml:space="preserve">PAGE  </w:instrText>
    </w:r>
    <w:r>
      <w:rPr>
        <w:rStyle w:val="Numeropagina"/>
        <w:rFonts w:ascii="Times New Roman" w:hAnsi="Times New Roman"/>
      </w:rPr>
      <w:fldChar w:fldCharType="separate"/>
    </w:r>
    <w:r w:rsidR="00AE00EB">
      <w:rPr>
        <w:rStyle w:val="Numeropagina"/>
        <w:rFonts w:ascii="Times New Roman" w:hAnsi="Times New Roman"/>
        <w:noProof/>
      </w:rPr>
      <w:t>2</w:t>
    </w:r>
    <w:r>
      <w:rPr>
        <w:rStyle w:val="Numeropagina"/>
        <w:rFonts w:ascii="Times New Roman" w:hAnsi="Times New Roman"/>
      </w:rPr>
      <w:fldChar w:fldCharType="end"/>
    </w:r>
  </w:p>
  <w:p w:rsidR="000E7BFC" w:rsidRDefault="000E7BFC">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25B" w:rsidRDefault="00F3725B">
      <w:r>
        <w:separator/>
      </w:r>
    </w:p>
  </w:footnote>
  <w:footnote w:type="continuationSeparator" w:id="0">
    <w:p w:rsidR="00F3725B" w:rsidRDefault="00F3725B">
      <w:r>
        <w:continuationSeparator/>
      </w:r>
    </w:p>
  </w:footnote>
  <w:footnote w:id="1">
    <w:p w:rsidR="000E7BFC" w:rsidRPr="00543F9B" w:rsidRDefault="000E7BFC" w:rsidP="004A2366">
      <w:pPr>
        <w:pBdr>
          <w:top w:val="nil"/>
          <w:left w:val="nil"/>
          <w:bottom w:val="nil"/>
          <w:right w:val="nil"/>
          <w:between w:val="nil"/>
        </w:pBdr>
        <w:rPr>
          <w:rFonts w:ascii="Times New Roman" w:hAnsi="Times New Roman"/>
          <w:color w:val="000000"/>
          <w:sz w:val="20"/>
          <w:szCs w:val="20"/>
        </w:rPr>
      </w:pPr>
      <w:r w:rsidRPr="00543F9B">
        <w:rPr>
          <w:rFonts w:ascii="Times New Roman" w:hAnsi="Times New Roman"/>
          <w:vertAlign w:val="superscript"/>
        </w:rPr>
        <w:footnoteRef/>
      </w:r>
      <w:r w:rsidRPr="00543F9B">
        <w:rPr>
          <w:rFonts w:ascii="Times New Roman" w:hAnsi="Times New Roman"/>
          <w:color w:val="000000"/>
          <w:sz w:val="20"/>
          <w:szCs w:val="20"/>
        </w:rPr>
        <w:t xml:space="preserve"> JRC-ENCR: ECIS - European Cancer Information System (tassi standardizzati su popolazione europea 2013) https://ecis.jrc.ec.europa.eu/</w:t>
      </w:r>
    </w:p>
  </w:footnote>
  <w:footnote w:id="2">
    <w:p w:rsidR="000E7BFC" w:rsidRDefault="000E7BFC" w:rsidP="004A2366">
      <w:pPr>
        <w:pBdr>
          <w:top w:val="nil"/>
          <w:left w:val="nil"/>
          <w:bottom w:val="nil"/>
          <w:right w:val="nil"/>
          <w:between w:val="nil"/>
        </w:pBdr>
        <w:rPr>
          <w:color w:val="000000"/>
          <w:sz w:val="20"/>
          <w:szCs w:val="20"/>
        </w:rPr>
      </w:pPr>
      <w:r w:rsidRPr="00543F9B">
        <w:rPr>
          <w:rFonts w:ascii="Times New Roman" w:hAnsi="Times New Roman"/>
          <w:vertAlign w:val="superscript"/>
        </w:rPr>
        <w:footnoteRef/>
      </w:r>
      <w:r w:rsidRPr="00543F9B">
        <w:rPr>
          <w:rFonts w:ascii="Times New Roman" w:hAnsi="Times New Roman"/>
          <w:color w:val="000000"/>
          <w:sz w:val="20"/>
          <w:szCs w:val="20"/>
        </w:rPr>
        <w:t xml:space="preserve"> </w:t>
      </w:r>
      <w:r w:rsidRPr="00543F9B">
        <w:rPr>
          <w:rFonts w:ascii="Times New Roman" w:hAnsi="Times New Roman"/>
          <w:color w:val="000000"/>
          <w:sz w:val="18"/>
          <w:szCs w:val="18"/>
        </w:rPr>
        <w:t>Dati Registro Tumori Regione Campania (tassi standardizzati su popolazione europea 2013).</w:t>
      </w:r>
    </w:p>
  </w:footnote>
  <w:footnote w:id="3">
    <w:p w:rsidR="000E7BFC" w:rsidRDefault="000E7BFC" w:rsidP="004A2366">
      <w:pPr>
        <w:pStyle w:val="Testonotaapidipagina"/>
        <w:rPr>
          <w:rFonts w:ascii="Times New Roman" w:hAnsi="Times New Roman"/>
        </w:rPr>
      </w:pPr>
      <w:r>
        <w:rPr>
          <w:rStyle w:val="Rimandonotaapidipagina"/>
        </w:rPr>
        <w:footnoteRef/>
      </w:r>
      <w:r>
        <w:t xml:space="preserve"> </w:t>
      </w:r>
      <w:bookmarkStart w:id="3" w:name="_Hlk61852211"/>
      <w:r>
        <w:rPr>
          <w:rFonts w:ascii="Times New Roman" w:hAnsi="Times New Roman"/>
        </w:rPr>
        <w:t>La sopravvivenza per cancro in Italia – dati Airtum 20</w:t>
      </w:r>
      <w:bookmarkEnd w:id="3"/>
      <w:r>
        <w:rPr>
          <w:rFonts w:ascii="Times New Roman" w:hAnsi="Times New Roman"/>
        </w:rPr>
        <w:t>23</w:t>
      </w:r>
    </w:p>
  </w:footnote>
  <w:footnote w:id="4">
    <w:p w:rsidR="000E7BFC" w:rsidRDefault="000E7BFC" w:rsidP="004A2366">
      <w:pPr>
        <w:pStyle w:val="Testonotaapidipagina"/>
      </w:pPr>
      <w:r>
        <w:rPr>
          <w:rStyle w:val="Rimandonotaapidipagina"/>
        </w:rPr>
        <w:footnoteRef/>
      </w:r>
      <w:r>
        <w:t xml:space="preserve"> </w:t>
      </w:r>
      <w:r>
        <w:rPr>
          <w:rFonts w:ascii="Times New Roman" w:hAnsi="Times New Roman"/>
        </w:rPr>
        <w:t>Razionale scientifico Rete Oncologica Regione Campania DGRC 477 del 04/11/2021; DGRC 798 del 29/12/2023</w:t>
      </w:r>
    </w:p>
    <w:p w:rsidR="000E7BFC" w:rsidRDefault="000E7BFC" w:rsidP="004A2366">
      <w:pPr>
        <w:pStyle w:val="Testonotaapidipagina"/>
        <w:rPr>
          <w:rFonts w:ascii="Times New Roman" w:hAnsi="Times New Roman"/>
        </w:rPr>
      </w:pPr>
    </w:p>
    <w:p w:rsidR="000E7BFC" w:rsidRDefault="000E7BFC" w:rsidP="004A2366">
      <w:pPr>
        <w:pStyle w:val="Testonotaapidipagina"/>
      </w:pPr>
    </w:p>
  </w:footnote>
  <w:footnote w:id="5">
    <w:p w:rsidR="000E7BFC" w:rsidRPr="00D85B5A" w:rsidRDefault="000E7BFC" w:rsidP="00D10DE6">
      <w:pPr>
        <w:pStyle w:val="Testonotaapidipagina"/>
        <w:rPr>
          <w:sz w:val="16"/>
          <w:szCs w:val="16"/>
        </w:rPr>
      </w:pPr>
      <w:r>
        <w:rPr>
          <w:rStyle w:val="Rimandonotaapidipagina"/>
        </w:rPr>
        <w:footnoteRef/>
      </w:r>
      <w:r>
        <w:t xml:space="preserve"> </w:t>
      </w:r>
      <w:r w:rsidRPr="00D85B5A">
        <w:rPr>
          <w:sz w:val="16"/>
          <w:szCs w:val="16"/>
        </w:rPr>
        <w:t xml:space="preserve">Pacini F, Basolo F, Bellantone R, Boni G, Cannizzaro MA, De Palma M, Durante C, Elisei R, Fadda G, Frasoldati A, Fugazzola L, Guglielmi R, Lombardi CP, Miccoli P, Papini E, Pellegriti G, Pezzullo L, Pontecorvi A, Salvatori M, Seregni E, Vitti P. Italian consensus on diagnosis and treatment of differentiated thyroid cancer: joint statements of six Italian societies. J Endocrinol Invest. 2018 Jul;41(7):849-876. </w:t>
      </w:r>
    </w:p>
  </w:footnote>
  <w:footnote w:id="6">
    <w:p w:rsidR="000E7BFC" w:rsidRPr="0025076F" w:rsidRDefault="000E7BFC" w:rsidP="00D10DE6">
      <w:pPr>
        <w:pStyle w:val="Testonotaapidipagina"/>
        <w:rPr>
          <w:sz w:val="16"/>
          <w:szCs w:val="16"/>
          <w:lang w:val="en-GB"/>
        </w:rPr>
      </w:pPr>
      <w:r>
        <w:rPr>
          <w:rStyle w:val="Rimandonotaapidipagina"/>
        </w:rPr>
        <w:footnoteRef/>
      </w:r>
      <w:r>
        <w:t xml:space="preserve"> </w:t>
      </w:r>
      <w:r w:rsidRPr="0025076F">
        <w:rPr>
          <w:sz w:val="16"/>
          <w:szCs w:val="16"/>
        </w:rPr>
        <w:t xml:space="preserve">Del Rio P, Polistena A, Chiofalo MG, De Pasquale L, Dionigi G, Docimo G, Graceffa G, Iacobone M, Medas F, Pezzolla A, Sorrenti S, Spiezia S, Calò PG. </w:t>
      </w:r>
      <w:r w:rsidRPr="0025076F">
        <w:rPr>
          <w:sz w:val="16"/>
          <w:szCs w:val="16"/>
          <w:lang w:val="en-GB"/>
        </w:rPr>
        <w:t xml:space="preserve">Management of surgical diseases of thyroid gland indications of the United Italian Society of Endocrine Surgery (SIUEC). Updates Surg. 2023 Sep;75(6):1393-1417. </w:t>
      </w:r>
    </w:p>
  </w:footnote>
  <w:footnote w:id="7">
    <w:p w:rsidR="000E7BFC" w:rsidRPr="005007F3" w:rsidRDefault="000E7BFC">
      <w:pPr>
        <w:pStyle w:val="Testonotaapidipagina"/>
        <w:rPr>
          <w:sz w:val="16"/>
          <w:szCs w:val="16"/>
          <w:lang w:val="en-GB"/>
        </w:rPr>
      </w:pPr>
      <w:r>
        <w:rPr>
          <w:rStyle w:val="Rimandonotaapidipagina"/>
        </w:rPr>
        <w:footnoteRef/>
      </w:r>
      <w:r w:rsidRPr="005007F3">
        <w:rPr>
          <w:lang w:val="en-GB"/>
        </w:rPr>
        <w:t xml:space="preserve"> </w:t>
      </w:r>
      <w:r w:rsidRPr="005007F3">
        <w:rPr>
          <w:sz w:val="16"/>
          <w:szCs w:val="16"/>
          <w:lang w:val="en-GB"/>
        </w:rPr>
        <w:t>Haugen BR,  Alexander EK, Bible KC, Doherty GM, Mandel SJ, Nikiforov YE, Pacini F, Randolph GW, Sawka AM, Schlumberger M, Schuff KG, Sherman SI, Sosa JA, Steward DL, Tuttle RM, Wartofsky L. 2015 American Thyroid Association Management Guidelines for Adult Patients with Thyroid Nodules and Differentiated Thyroid Cancer: The American Thyroid Association Guidelines Task Force on Thyroid Nodules and Differentiated Thyroid Cancer. Thyroid. 2016 Jan;26(1):1-133.</w:t>
      </w:r>
    </w:p>
  </w:footnote>
  <w:footnote w:id="8">
    <w:p w:rsidR="000E7BFC" w:rsidRPr="005007F3" w:rsidRDefault="000E7BFC">
      <w:pPr>
        <w:pStyle w:val="Testonotaapidipagina"/>
        <w:rPr>
          <w:sz w:val="16"/>
          <w:szCs w:val="16"/>
          <w:lang w:val="en-GB"/>
        </w:rPr>
      </w:pPr>
      <w:r>
        <w:rPr>
          <w:rStyle w:val="Rimandonotaapidipagina"/>
        </w:rPr>
        <w:footnoteRef/>
      </w:r>
      <w:r w:rsidRPr="00282E27">
        <w:rPr>
          <w:lang w:val="en-GB"/>
        </w:rPr>
        <w:t xml:space="preserve"> </w:t>
      </w:r>
      <w:r w:rsidRPr="00282E27">
        <w:rPr>
          <w:sz w:val="16"/>
          <w:szCs w:val="16"/>
          <w:lang w:val="en-GB"/>
        </w:rPr>
        <w:t xml:space="preserve">Filetti S, Durante C, Hartl D, Leboulleux S, Locati LD, Newbold K, Papotti MG, Berruti A; ESMO Guidelines Committee.  Thyroid cancer: ESMO Clinical Practice Guidelines for diagnosis, treatment and follow-up†. </w:t>
      </w:r>
      <w:r w:rsidRPr="005007F3">
        <w:rPr>
          <w:sz w:val="16"/>
          <w:szCs w:val="16"/>
          <w:lang w:val="en-GB"/>
        </w:rPr>
        <w:t>Ann Oncol. 2019 Dec 1;30(12):1856-1883.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BFC" w:rsidRDefault="000E7BFC">
    <w:pPr>
      <w:pStyle w:val="Intestazione"/>
      <w:spacing w:line="360" w:lineRule="auto"/>
      <w:jc w:val="both"/>
      <w:rPr>
        <w:rFonts w:ascii="Times New Roman" w:hAnsi="Times New Roman"/>
      </w:rPr>
    </w:pPr>
    <w:r>
      <w:rPr>
        <w:rFonts w:ascii="Times New Roman" w:hAnsi="Times New Roman"/>
        <w:noProof/>
        <w:lang w:eastAsia="it-IT"/>
      </w:rPr>
      <w:drawing>
        <wp:anchor distT="0" distB="0" distL="0" distR="0" simplePos="0" relativeHeight="251659264" behindDoc="0" locked="0" layoutInCell="1" allowOverlap="1">
          <wp:simplePos x="0" y="0"/>
          <wp:positionH relativeFrom="column">
            <wp:posOffset>5139055</wp:posOffset>
          </wp:positionH>
          <wp:positionV relativeFrom="paragraph">
            <wp:posOffset>-78740</wp:posOffset>
          </wp:positionV>
          <wp:extent cx="857250" cy="643890"/>
          <wp:effectExtent l="0" t="0" r="0" b="0"/>
          <wp:wrapNone/>
          <wp:docPr id="4098" name="Immagine 10" descr="logo"/>
          <wp:cNvGraphicFramePr/>
          <a:graphic xmlns:a="http://schemas.openxmlformats.org/drawingml/2006/main">
            <a:graphicData uri="http://schemas.openxmlformats.org/drawingml/2006/picture">
              <pic:pic xmlns:pic="http://schemas.openxmlformats.org/drawingml/2006/picture">
                <pic:nvPicPr>
                  <pic:cNvPr id="4098" name="Immagine 10" descr="logo"/>
                  <pic:cNvPicPr/>
                </pic:nvPicPr>
                <pic:blipFill>
                  <a:blip r:embed="rId1" cstate="print"/>
                  <a:srcRect/>
                  <a:stretch>
                    <a:fillRect/>
                  </a:stretch>
                </pic:blipFill>
                <pic:spPr>
                  <a:xfrm>
                    <a:off x="0" y="0"/>
                    <a:ext cx="857250" cy="644059"/>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00000002"/>
    <w:multiLevelType w:val="multilevel"/>
    <w:tmpl w:val="0000000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000003"/>
    <w:multiLevelType w:val="multilevel"/>
    <w:tmpl w:val="00000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000007"/>
    <w:multiLevelType w:val="multilevel"/>
    <w:tmpl w:val="000000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0000008"/>
    <w:multiLevelType w:val="multilevel"/>
    <w:tmpl w:val="CA9ECD2C"/>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000000A"/>
    <w:multiLevelType w:val="multilevel"/>
    <w:tmpl w:val="0000000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2703C83"/>
    <w:multiLevelType w:val="hybridMultilevel"/>
    <w:tmpl w:val="49104E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29822D1"/>
    <w:multiLevelType w:val="hybridMultilevel"/>
    <w:tmpl w:val="D81C275A"/>
    <w:lvl w:ilvl="0" w:tplc="B86443D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2B33F24"/>
    <w:multiLevelType w:val="hybridMultilevel"/>
    <w:tmpl w:val="281ADDE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67A2776"/>
    <w:multiLevelType w:val="hybridMultilevel"/>
    <w:tmpl w:val="0E0092BC"/>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 w15:restartNumberingAfterBreak="0">
    <w:nsid w:val="0D2B4D35"/>
    <w:multiLevelType w:val="hybridMultilevel"/>
    <w:tmpl w:val="D3005240"/>
    <w:lvl w:ilvl="0" w:tplc="B86443D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B8325CA"/>
    <w:multiLevelType w:val="multilevel"/>
    <w:tmpl w:val="D790448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836E80"/>
    <w:multiLevelType w:val="multilevel"/>
    <w:tmpl w:val="CB10A9CE"/>
    <w:lvl w:ilvl="0">
      <w:start w:val="1"/>
      <w:numFmt w:val="bullet"/>
      <w:lvlText w:val="-"/>
      <w:lvlJc w:val="left"/>
      <w:pPr>
        <w:ind w:left="360" w:hanging="360"/>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o"/>
      <w:lvlJc w:val="left"/>
      <w:pPr>
        <w:ind w:left="1080" w:hanging="360"/>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1800" w:hanging="360"/>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2520" w:hanging="360"/>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o"/>
      <w:lvlJc w:val="left"/>
      <w:pPr>
        <w:ind w:left="3240" w:hanging="360"/>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3960" w:hanging="360"/>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4680" w:hanging="360"/>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o"/>
      <w:lvlJc w:val="left"/>
      <w:pPr>
        <w:ind w:left="5400" w:hanging="360"/>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6120" w:hanging="360"/>
      </w:pPr>
      <w:rPr>
        <w:rFonts w:ascii="Times New Roman" w:eastAsia="Times New Roman" w:hAnsi="Times New Roman" w:cs="Times New Roman"/>
        <w:b w:val="0"/>
        <w:i w:val="0"/>
        <w:smallCaps w:val="0"/>
        <w:strike w:val="0"/>
        <w:shd w:val="clear" w:color="auto" w:fill="auto"/>
        <w:vertAlign w:val="baseline"/>
      </w:rPr>
    </w:lvl>
  </w:abstractNum>
  <w:abstractNum w:abstractNumId="13" w15:restartNumberingAfterBreak="0">
    <w:nsid w:val="3B532FCA"/>
    <w:multiLevelType w:val="hybridMultilevel"/>
    <w:tmpl w:val="C8E470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E1707F"/>
    <w:multiLevelType w:val="hybridMultilevel"/>
    <w:tmpl w:val="2B166860"/>
    <w:lvl w:ilvl="0" w:tplc="B86443D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56D2C2D"/>
    <w:multiLevelType w:val="hybridMultilevel"/>
    <w:tmpl w:val="6ECAB75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FEE129E"/>
    <w:multiLevelType w:val="hybridMultilevel"/>
    <w:tmpl w:val="FA66CFA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1A56588"/>
    <w:multiLevelType w:val="multilevel"/>
    <w:tmpl w:val="AA76179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50B46FA"/>
    <w:multiLevelType w:val="multilevel"/>
    <w:tmpl w:val="329AA698"/>
    <w:lvl w:ilvl="0">
      <w:start w:val="1"/>
      <w:numFmt w:val="decimal"/>
      <w:lvlText w:val="%1."/>
      <w:lvlJc w:val="left"/>
      <w:pPr>
        <w:ind w:left="643" w:hanging="360"/>
      </w:pPr>
      <w:rPr>
        <w:smallCaps w:val="0"/>
        <w:strike w:val="0"/>
        <w:color w:val="000000"/>
        <w:shd w:val="clear" w:color="auto" w:fill="auto"/>
        <w:vertAlign w:val="baseline"/>
      </w:rPr>
    </w:lvl>
    <w:lvl w:ilvl="1">
      <w:start w:val="1"/>
      <w:numFmt w:val="lowerLetter"/>
      <w:lvlText w:val="%2."/>
      <w:lvlJc w:val="left"/>
      <w:pPr>
        <w:ind w:left="1363" w:hanging="359"/>
      </w:pPr>
      <w:rPr>
        <w:smallCaps w:val="0"/>
        <w:strike w:val="0"/>
        <w:color w:val="000000"/>
        <w:shd w:val="clear" w:color="auto" w:fill="auto"/>
        <w:vertAlign w:val="baseline"/>
      </w:rPr>
    </w:lvl>
    <w:lvl w:ilvl="2">
      <w:start w:val="1"/>
      <w:numFmt w:val="lowerRoman"/>
      <w:lvlText w:val="%3."/>
      <w:lvlJc w:val="left"/>
      <w:pPr>
        <w:ind w:left="2083" w:hanging="300"/>
      </w:pPr>
      <w:rPr>
        <w:smallCaps w:val="0"/>
        <w:strike w:val="0"/>
        <w:color w:val="000000"/>
        <w:shd w:val="clear" w:color="auto" w:fill="auto"/>
        <w:vertAlign w:val="baseline"/>
      </w:rPr>
    </w:lvl>
    <w:lvl w:ilvl="3">
      <w:start w:val="1"/>
      <w:numFmt w:val="decimal"/>
      <w:lvlText w:val="%4."/>
      <w:lvlJc w:val="left"/>
      <w:pPr>
        <w:ind w:left="2803" w:hanging="360"/>
      </w:pPr>
      <w:rPr>
        <w:smallCaps w:val="0"/>
        <w:strike w:val="0"/>
        <w:color w:val="000000"/>
        <w:shd w:val="clear" w:color="auto" w:fill="auto"/>
        <w:vertAlign w:val="baseline"/>
      </w:rPr>
    </w:lvl>
    <w:lvl w:ilvl="4">
      <w:start w:val="1"/>
      <w:numFmt w:val="lowerLetter"/>
      <w:lvlText w:val="%5."/>
      <w:lvlJc w:val="left"/>
      <w:pPr>
        <w:ind w:left="3523" w:hanging="360"/>
      </w:pPr>
      <w:rPr>
        <w:smallCaps w:val="0"/>
        <w:strike w:val="0"/>
        <w:color w:val="000000"/>
        <w:shd w:val="clear" w:color="auto" w:fill="auto"/>
        <w:vertAlign w:val="baseline"/>
      </w:rPr>
    </w:lvl>
    <w:lvl w:ilvl="5">
      <w:start w:val="1"/>
      <w:numFmt w:val="lowerRoman"/>
      <w:lvlText w:val="%6."/>
      <w:lvlJc w:val="left"/>
      <w:pPr>
        <w:ind w:left="4243" w:hanging="300"/>
      </w:pPr>
      <w:rPr>
        <w:smallCaps w:val="0"/>
        <w:strike w:val="0"/>
        <w:color w:val="000000"/>
        <w:shd w:val="clear" w:color="auto" w:fill="auto"/>
        <w:vertAlign w:val="baseline"/>
      </w:rPr>
    </w:lvl>
    <w:lvl w:ilvl="6">
      <w:start w:val="1"/>
      <w:numFmt w:val="decimal"/>
      <w:lvlText w:val="%7."/>
      <w:lvlJc w:val="left"/>
      <w:pPr>
        <w:ind w:left="4963" w:hanging="360"/>
      </w:pPr>
      <w:rPr>
        <w:smallCaps w:val="0"/>
        <w:strike w:val="0"/>
        <w:color w:val="000000"/>
        <w:shd w:val="clear" w:color="auto" w:fill="auto"/>
        <w:vertAlign w:val="baseline"/>
      </w:rPr>
    </w:lvl>
    <w:lvl w:ilvl="7">
      <w:start w:val="1"/>
      <w:numFmt w:val="lowerLetter"/>
      <w:lvlText w:val="%8."/>
      <w:lvlJc w:val="left"/>
      <w:pPr>
        <w:ind w:left="5683" w:hanging="360"/>
      </w:pPr>
      <w:rPr>
        <w:smallCaps w:val="0"/>
        <w:strike w:val="0"/>
        <w:color w:val="000000"/>
        <w:shd w:val="clear" w:color="auto" w:fill="auto"/>
        <w:vertAlign w:val="baseline"/>
      </w:rPr>
    </w:lvl>
    <w:lvl w:ilvl="8">
      <w:start w:val="1"/>
      <w:numFmt w:val="lowerRoman"/>
      <w:lvlText w:val="%9."/>
      <w:lvlJc w:val="left"/>
      <w:pPr>
        <w:ind w:left="6403" w:hanging="300"/>
      </w:pPr>
      <w:rPr>
        <w:smallCaps w:val="0"/>
        <w:strike w:val="0"/>
        <w:color w:val="000000"/>
        <w:shd w:val="clear" w:color="auto" w:fill="auto"/>
        <w:vertAlign w:val="baseline"/>
      </w:rPr>
    </w:lvl>
  </w:abstractNum>
  <w:abstractNum w:abstractNumId="19" w15:restartNumberingAfterBreak="0">
    <w:nsid w:val="7E5E28C5"/>
    <w:multiLevelType w:val="hybridMultilevel"/>
    <w:tmpl w:val="219A79F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5"/>
  </w:num>
  <w:num w:numId="6">
    <w:abstractNumId w:val="0"/>
  </w:num>
  <w:num w:numId="7">
    <w:abstractNumId w:val="19"/>
  </w:num>
  <w:num w:numId="8">
    <w:abstractNumId w:val="11"/>
  </w:num>
  <w:num w:numId="9">
    <w:abstractNumId w:val="8"/>
  </w:num>
  <w:num w:numId="10">
    <w:abstractNumId w:val="7"/>
  </w:num>
  <w:num w:numId="11">
    <w:abstractNumId w:val="17"/>
  </w:num>
  <w:num w:numId="12">
    <w:abstractNumId w:val="10"/>
  </w:num>
  <w:num w:numId="13">
    <w:abstractNumId w:val="15"/>
  </w:num>
  <w:num w:numId="14">
    <w:abstractNumId w:val="14"/>
  </w:num>
  <w:num w:numId="15">
    <w:abstractNumId w:val="16"/>
  </w:num>
  <w:num w:numId="16">
    <w:abstractNumId w:val="9"/>
  </w:num>
  <w:num w:numId="17">
    <w:abstractNumId w:val="6"/>
  </w:num>
  <w:num w:numId="18">
    <w:abstractNumId w:val="13"/>
  </w:num>
  <w:num w:numId="19">
    <w:abstractNumId w:val="1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BDE"/>
    <w:rsid w:val="000203C4"/>
    <w:rsid w:val="00021C74"/>
    <w:rsid w:val="00024EBA"/>
    <w:rsid w:val="00034257"/>
    <w:rsid w:val="00036156"/>
    <w:rsid w:val="00051316"/>
    <w:rsid w:val="00055270"/>
    <w:rsid w:val="00085DC8"/>
    <w:rsid w:val="000B2C37"/>
    <w:rsid w:val="000B4861"/>
    <w:rsid w:val="000C31E5"/>
    <w:rsid w:val="000E7BFC"/>
    <w:rsid w:val="000E7D14"/>
    <w:rsid w:val="00111D79"/>
    <w:rsid w:val="00123E78"/>
    <w:rsid w:val="001313D6"/>
    <w:rsid w:val="00174393"/>
    <w:rsid w:val="00192577"/>
    <w:rsid w:val="001972E6"/>
    <w:rsid w:val="001C3FE0"/>
    <w:rsid w:val="001D3769"/>
    <w:rsid w:val="001D6B2C"/>
    <w:rsid w:val="001F0E67"/>
    <w:rsid w:val="001F5B9A"/>
    <w:rsid w:val="00211A1B"/>
    <w:rsid w:val="0022198A"/>
    <w:rsid w:val="00226F47"/>
    <w:rsid w:val="0025076F"/>
    <w:rsid w:val="002562CF"/>
    <w:rsid w:val="0026710E"/>
    <w:rsid w:val="00282E27"/>
    <w:rsid w:val="002A3E0D"/>
    <w:rsid w:val="002B372F"/>
    <w:rsid w:val="002E29A4"/>
    <w:rsid w:val="002E7B18"/>
    <w:rsid w:val="002F603D"/>
    <w:rsid w:val="003028B4"/>
    <w:rsid w:val="00307DAE"/>
    <w:rsid w:val="00311AB8"/>
    <w:rsid w:val="00343C24"/>
    <w:rsid w:val="00347BD0"/>
    <w:rsid w:val="00347E22"/>
    <w:rsid w:val="00376CA9"/>
    <w:rsid w:val="00382EF2"/>
    <w:rsid w:val="003C1BF1"/>
    <w:rsid w:val="003C5D50"/>
    <w:rsid w:val="003E2F39"/>
    <w:rsid w:val="003E3674"/>
    <w:rsid w:val="003E4B2C"/>
    <w:rsid w:val="003F0026"/>
    <w:rsid w:val="003F6D44"/>
    <w:rsid w:val="00416D4A"/>
    <w:rsid w:val="00426A1D"/>
    <w:rsid w:val="004341AE"/>
    <w:rsid w:val="00453902"/>
    <w:rsid w:val="00460F73"/>
    <w:rsid w:val="00485E8C"/>
    <w:rsid w:val="004A2366"/>
    <w:rsid w:val="004C385B"/>
    <w:rsid w:val="004C4DBB"/>
    <w:rsid w:val="004E039C"/>
    <w:rsid w:val="004E7757"/>
    <w:rsid w:val="004F1EC1"/>
    <w:rsid w:val="004F710E"/>
    <w:rsid w:val="005007F3"/>
    <w:rsid w:val="00501336"/>
    <w:rsid w:val="0052254E"/>
    <w:rsid w:val="00584DCD"/>
    <w:rsid w:val="00587B0B"/>
    <w:rsid w:val="005A00A0"/>
    <w:rsid w:val="005A1F61"/>
    <w:rsid w:val="005B1DA1"/>
    <w:rsid w:val="005B6E72"/>
    <w:rsid w:val="005C4A5B"/>
    <w:rsid w:val="005C5756"/>
    <w:rsid w:val="005D016D"/>
    <w:rsid w:val="0060289B"/>
    <w:rsid w:val="00663919"/>
    <w:rsid w:val="006639CB"/>
    <w:rsid w:val="00667397"/>
    <w:rsid w:val="00696176"/>
    <w:rsid w:val="006A5F15"/>
    <w:rsid w:val="006B11DD"/>
    <w:rsid w:val="006C4F97"/>
    <w:rsid w:val="006E36C4"/>
    <w:rsid w:val="006F2B3F"/>
    <w:rsid w:val="0070606F"/>
    <w:rsid w:val="00721008"/>
    <w:rsid w:val="007213EE"/>
    <w:rsid w:val="00730DF5"/>
    <w:rsid w:val="0073285E"/>
    <w:rsid w:val="00733493"/>
    <w:rsid w:val="007652CD"/>
    <w:rsid w:val="00770A13"/>
    <w:rsid w:val="0078394D"/>
    <w:rsid w:val="007A2E80"/>
    <w:rsid w:val="008071D4"/>
    <w:rsid w:val="00813740"/>
    <w:rsid w:val="00830AEA"/>
    <w:rsid w:val="0087559B"/>
    <w:rsid w:val="00893C67"/>
    <w:rsid w:val="008C16BC"/>
    <w:rsid w:val="008E1C76"/>
    <w:rsid w:val="008F2D48"/>
    <w:rsid w:val="00933726"/>
    <w:rsid w:val="009401D2"/>
    <w:rsid w:val="009508FE"/>
    <w:rsid w:val="009537A7"/>
    <w:rsid w:val="009613D3"/>
    <w:rsid w:val="00970005"/>
    <w:rsid w:val="0099410C"/>
    <w:rsid w:val="009D0C47"/>
    <w:rsid w:val="009D20EE"/>
    <w:rsid w:val="009D63CB"/>
    <w:rsid w:val="009E16D6"/>
    <w:rsid w:val="00A06CED"/>
    <w:rsid w:val="00A41CA5"/>
    <w:rsid w:val="00A56998"/>
    <w:rsid w:val="00A6111B"/>
    <w:rsid w:val="00A62B1F"/>
    <w:rsid w:val="00A6666E"/>
    <w:rsid w:val="00A97900"/>
    <w:rsid w:val="00AA5554"/>
    <w:rsid w:val="00AB66F7"/>
    <w:rsid w:val="00AE00EB"/>
    <w:rsid w:val="00AE2511"/>
    <w:rsid w:val="00B11E39"/>
    <w:rsid w:val="00B142E7"/>
    <w:rsid w:val="00B168A7"/>
    <w:rsid w:val="00B5565A"/>
    <w:rsid w:val="00B62EA0"/>
    <w:rsid w:val="00B648E0"/>
    <w:rsid w:val="00B655E8"/>
    <w:rsid w:val="00BA1F60"/>
    <w:rsid w:val="00BD1F96"/>
    <w:rsid w:val="00BD2227"/>
    <w:rsid w:val="00C31687"/>
    <w:rsid w:val="00C87098"/>
    <w:rsid w:val="00C90BF4"/>
    <w:rsid w:val="00C972FB"/>
    <w:rsid w:val="00CA312E"/>
    <w:rsid w:val="00CB10D0"/>
    <w:rsid w:val="00CD7B58"/>
    <w:rsid w:val="00CF2A4A"/>
    <w:rsid w:val="00CF6DF0"/>
    <w:rsid w:val="00D01ACF"/>
    <w:rsid w:val="00D10DE6"/>
    <w:rsid w:val="00D1148C"/>
    <w:rsid w:val="00D1490F"/>
    <w:rsid w:val="00D367E0"/>
    <w:rsid w:val="00D76AF8"/>
    <w:rsid w:val="00D85B5A"/>
    <w:rsid w:val="00D86E82"/>
    <w:rsid w:val="00DD295F"/>
    <w:rsid w:val="00DE2740"/>
    <w:rsid w:val="00DE6417"/>
    <w:rsid w:val="00DF0220"/>
    <w:rsid w:val="00E12C60"/>
    <w:rsid w:val="00E258E2"/>
    <w:rsid w:val="00E64F50"/>
    <w:rsid w:val="00E66458"/>
    <w:rsid w:val="00E771FF"/>
    <w:rsid w:val="00E92E61"/>
    <w:rsid w:val="00EB6E95"/>
    <w:rsid w:val="00F07FDF"/>
    <w:rsid w:val="00F17051"/>
    <w:rsid w:val="00F3170C"/>
    <w:rsid w:val="00F361A2"/>
    <w:rsid w:val="00F3725B"/>
    <w:rsid w:val="00F72A34"/>
    <w:rsid w:val="00F910EC"/>
    <w:rsid w:val="00FA2731"/>
    <w:rsid w:val="00FC28BF"/>
    <w:rsid w:val="00FC3C0B"/>
    <w:rsid w:val="00FD0102"/>
    <w:rsid w:val="00FD125B"/>
    <w:rsid w:val="00FF6BDE"/>
    <w:rsid w:val="0B8B69D3"/>
    <w:rsid w:val="565D6CC1"/>
    <w:rsid w:val="596F7FD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AA24C02-FD51-4915-85ED-6EBAA6C29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Yu Mincho" w:hAnsi="Calibri"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Title" w:uiPriority="10" w:qFormat="1"/>
    <w:lsdException w:name="Default Paragraph Font" w:uiPriority="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lang w:eastAsia="ja-JP"/>
    </w:rPr>
  </w:style>
  <w:style w:type="paragraph" w:styleId="Titolo1">
    <w:name w:val="heading 1"/>
    <w:basedOn w:val="Normale"/>
    <w:next w:val="Normale"/>
    <w:link w:val="Titolo1Carattere"/>
    <w:uiPriority w:val="9"/>
    <w:qFormat/>
    <w:pPr>
      <w:keepNext/>
      <w:keepLines/>
      <w:spacing w:before="240"/>
      <w:outlineLvl w:val="0"/>
    </w:pPr>
    <w:rPr>
      <w:rFonts w:ascii="Cambria" w:eastAsia="SimSun" w:hAnsi="Cambria" w:cs="SimSun"/>
      <w:color w:val="365F91"/>
      <w:sz w:val="32"/>
      <w:szCs w:val="32"/>
    </w:rPr>
  </w:style>
  <w:style w:type="paragraph" w:styleId="Titolo2">
    <w:name w:val="heading 2"/>
    <w:basedOn w:val="Normale"/>
    <w:next w:val="Normale"/>
    <w:link w:val="Titolo2Carattere"/>
    <w:uiPriority w:val="9"/>
    <w:qFormat/>
    <w:pPr>
      <w:keepNext/>
      <w:keepLines/>
      <w:spacing w:before="40"/>
      <w:outlineLvl w:val="1"/>
    </w:pPr>
    <w:rPr>
      <w:rFonts w:ascii="Cambria" w:eastAsia="SimSun" w:hAnsi="Cambria" w:cs="SimSun"/>
      <w:color w:val="365F91"/>
      <w:sz w:val="26"/>
      <w:szCs w:val="26"/>
    </w:rPr>
  </w:style>
  <w:style w:type="paragraph" w:styleId="Titolo3">
    <w:name w:val="heading 3"/>
    <w:basedOn w:val="Normale"/>
    <w:next w:val="Normale"/>
    <w:link w:val="Titolo3Carattere"/>
    <w:qFormat/>
    <w:pPr>
      <w:keepNext/>
      <w:tabs>
        <w:tab w:val="left" w:pos="3240"/>
      </w:tabs>
      <w:spacing w:line="360" w:lineRule="auto"/>
      <w:jc w:val="both"/>
      <w:outlineLvl w:val="2"/>
    </w:pPr>
    <w:rPr>
      <w:rFonts w:ascii="Times New Roman" w:eastAsia="Times New Roman" w:hAnsi="Times New Roman"/>
      <w:b/>
      <w:bCs/>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rPr>
      <w:rFonts w:ascii="Segoe UI" w:hAnsi="Segoe UI"/>
      <w:sz w:val="18"/>
      <w:szCs w:val="18"/>
    </w:rPr>
  </w:style>
  <w:style w:type="paragraph" w:styleId="Corpotesto">
    <w:name w:val="Body Text"/>
    <w:basedOn w:val="Normale"/>
    <w:link w:val="CorpotestoCarattere"/>
    <w:pPr>
      <w:spacing w:after="140" w:line="276" w:lineRule="auto"/>
    </w:pPr>
    <w:rPr>
      <w:rFonts w:ascii="Times New Roman" w:eastAsia="Arial Unicode MS" w:hAnsi="Times New Roman" w:cs="Arial Unicode MS"/>
      <w:color w:val="000000"/>
      <w:u w:color="000000"/>
      <w:lang w:eastAsia="it-IT"/>
    </w:rPr>
  </w:style>
  <w:style w:type="paragraph" w:styleId="Didascalia">
    <w:name w:val="caption"/>
    <w:basedOn w:val="Normale"/>
    <w:next w:val="Normale"/>
    <w:uiPriority w:val="35"/>
    <w:qFormat/>
    <w:pPr>
      <w:spacing w:after="200"/>
    </w:pPr>
    <w:rPr>
      <w:i/>
      <w:iCs/>
      <w:color w:val="44546A"/>
      <w:sz w:val="18"/>
      <w:szCs w:val="18"/>
    </w:rPr>
  </w:style>
  <w:style w:type="character" w:styleId="Rimandocommento">
    <w:name w:val="annotation reference"/>
    <w:basedOn w:val="Carpredefinitoparagrafo"/>
    <w:uiPriority w:val="99"/>
    <w:rPr>
      <w:sz w:val="16"/>
      <w:szCs w:val="16"/>
    </w:rPr>
  </w:style>
  <w:style w:type="paragraph" w:styleId="Testocommento">
    <w:name w:val="annotation text"/>
    <w:basedOn w:val="Normale"/>
    <w:link w:val="TestocommentoCarattere"/>
    <w:uiPriority w:val="99"/>
    <w:rPr>
      <w:sz w:val="20"/>
      <w:szCs w:val="20"/>
    </w:rPr>
  </w:style>
  <w:style w:type="paragraph" w:styleId="Soggettocommento">
    <w:name w:val="annotation subject"/>
    <w:basedOn w:val="Testocommento"/>
    <w:next w:val="Testocommento"/>
    <w:link w:val="SoggettocommentoCarattere"/>
    <w:uiPriority w:val="99"/>
    <w:rPr>
      <w:b/>
      <w:bCs/>
    </w:rPr>
  </w:style>
  <w:style w:type="paragraph" w:styleId="Pidipagina">
    <w:name w:val="footer"/>
    <w:basedOn w:val="Normale"/>
    <w:link w:val="PidipaginaCarattere"/>
    <w:uiPriority w:val="99"/>
    <w:pPr>
      <w:tabs>
        <w:tab w:val="center" w:pos="4819"/>
        <w:tab w:val="right" w:pos="9638"/>
      </w:tabs>
    </w:pPr>
  </w:style>
  <w:style w:type="character" w:styleId="Rimandonotaapidipagina">
    <w:name w:val="footnote reference"/>
    <w:basedOn w:val="Carpredefinitoparagrafo"/>
    <w:uiPriority w:val="99"/>
    <w:rPr>
      <w:vertAlign w:val="superscript"/>
    </w:rPr>
  </w:style>
  <w:style w:type="paragraph" w:styleId="Testonotaapidipagina">
    <w:name w:val="footnote text"/>
    <w:basedOn w:val="Normale"/>
    <w:link w:val="TestonotaapidipaginaCarattere"/>
    <w:uiPriority w:val="99"/>
    <w:rPr>
      <w:rFonts w:eastAsia="Calibri"/>
      <w:sz w:val="20"/>
      <w:szCs w:val="20"/>
      <w:lang w:eastAsia="en-US"/>
    </w:rPr>
  </w:style>
  <w:style w:type="paragraph" w:styleId="Intestazione">
    <w:name w:val="header"/>
    <w:basedOn w:val="Normale"/>
    <w:link w:val="IntestazioneCarattere"/>
    <w:uiPriority w:val="99"/>
    <w:pPr>
      <w:tabs>
        <w:tab w:val="center" w:pos="4819"/>
        <w:tab w:val="right" w:pos="9638"/>
      </w:tabs>
    </w:pPr>
  </w:style>
  <w:style w:type="character" w:styleId="Collegamentoipertestuale">
    <w:name w:val="Hyperlink"/>
    <w:uiPriority w:val="99"/>
    <w:rPr>
      <w:color w:val="0000FF"/>
      <w:u w:val="single"/>
    </w:rPr>
  </w:style>
  <w:style w:type="character" w:styleId="Numeropagina">
    <w:name w:val="page number"/>
    <w:basedOn w:val="Carpredefinitoparagrafo"/>
    <w:uiPriority w:val="99"/>
  </w:style>
  <w:style w:type="table" w:styleId="Grigliatabella">
    <w:name w:val="Table Grid"/>
    <w:basedOn w:val="Tabellanorma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basedOn w:val="Carpredefinitoparagrafo"/>
    <w:link w:val="Intestazione"/>
    <w:uiPriority w:val="99"/>
  </w:style>
  <w:style w:type="character" w:customStyle="1" w:styleId="PidipaginaCarattere">
    <w:name w:val="Piè di pagina Carattere"/>
    <w:basedOn w:val="Carpredefinitoparagrafo"/>
    <w:link w:val="Pidipagina"/>
    <w:uiPriority w:val="99"/>
  </w:style>
  <w:style w:type="paragraph" w:customStyle="1" w:styleId="Elencoacolori-Colore11">
    <w:name w:val="Elenco a colori - Colore 11"/>
    <w:basedOn w:val="Normale"/>
    <w:uiPriority w:val="34"/>
    <w:qFormat/>
    <w:pPr>
      <w:ind w:left="720"/>
      <w:contextualSpacing/>
    </w:pPr>
  </w:style>
  <w:style w:type="character" w:customStyle="1" w:styleId="TestofumettoCarattere">
    <w:name w:val="Testo fumetto Carattere"/>
    <w:link w:val="Testofumetto"/>
    <w:uiPriority w:val="99"/>
    <w:rPr>
      <w:rFonts w:ascii="Segoe UI" w:hAnsi="Segoe UI" w:cs="Segoe UI"/>
      <w:sz w:val="18"/>
      <w:szCs w:val="18"/>
    </w:rPr>
  </w:style>
  <w:style w:type="character" w:customStyle="1" w:styleId="Titolo3Carattere">
    <w:name w:val="Titolo 3 Carattere"/>
    <w:link w:val="Titolo3"/>
    <w:rPr>
      <w:rFonts w:ascii="Times New Roman" w:eastAsia="Times New Roman" w:hAnsi="Times New Roman"/>
      <w:b/>
      <w:bCs/>
      <w:sz w:val="24"/>
      <w:szCs w:val="24"/>
      <w:u w:val="single"/>
    </w:rPr>
  </w:style>
  <w:style w:type="paragraph" w:styleId="Paragrafoelenco">
    <w:name w:val="List Paragraph"/>
    <w:basedOn w:val="Normale"/>
    <w:uiPriority w:val="34"/>
    <w:qFormat/>
    <w:pPr>
      <w:spacing w:after="200" w:line="276" w:lineRule="auto"/>
      <w:ind w:left="720"/>
      <w:contextualSpacing/>
    </w:pPr>
    <w:rPr>
      <w:rFonts w:eastAsia="Calibri"/>
      <w:sz w:val="22"/>
      <w:szCs w:val="22"/>
      <w:lang w:eastAsia="en-US"/>
    </w:rPr>
  </w:style>
  <w:style w:type="character" w:customStyle="1" w:styleId="Titolo1Carattere">
    <w:name w:val="Titolo 1 Carattere"/>
    <w:basedOn w:val="Carpredefinitoparagrafo"/>
    <w:link w:val="Titolo1"/>
    <w:uiPriority w:val="9"/>
    <w:rPr>
      <w:rFonts w:ascii="Cambria" w:eastAsia="SimSun" w:hAnsi="Cambria" w:cs="SimSun"/>
      <w:color w:val="365F91"/>
      <w:sz w:val="32"/>
      <w:szCs w:val="32"/>
      <w:lang w:eastAsia="ja-JP"/>
    </w:rPr>
  </w:style>
  <w:style w:type="paragraph" w:customStyle="1" w:styleId="Pa1">
    <w:name w:val="Pa1"/>
    <w:basedOn w:val="Normale"/>
    <w:next w:val="Normale"/>
    <w:uiPriority w:val="99"/>
    <w:pPr>
      <w:widowControl w:val="0"/>
      <w:autoSpaceDE w:val="0"/>
      <w:autoSpaceDN w:val="0"/>
      <w:adjustRightInd w:val="0"/>
      <w:spacing w:line="241" w:lineRule="atLeast"/>
    </w:pPr>
    <w:rPr>
      <w:rFonts w:ascii="Arial Narrow" w:eastAsia="Times New Roman" w:hAnsi="Arial Narrow"/>
      <w:lang w:eastAsia="it-IT"/>
    </w:rPr>
  </w:style>
  <w:style w:type="character" w:customStyle="1" w:styleId="TestocommentoCarattere">
    <w:name w:val="Testo commento Carattere"/>
    <w:basedOn w:val="Carpredefinitoparagrafo"/>
    <w:link w:val="Testocommento"/>
    <w:uiPriority w:val="99"/>
    <w:rPr>
      <w:lang w:eastAsia="ja-JP"/>
    </w:rPr>
  </w:style>
  <w:style w:type="character" w:customStyle="1" w:styleId="SoggettocommentoCarattere">
    <w:name w:val="Soggetto commento Carattere"/>
    <w:basedOn w:val="TestocommentoCarattere"/>
    <w:link w:val="Soggettocommento"/>
    <w:uiPriority w:val="99"/>
    <w:rPr>
      <w:b/>
      <w:bCs/>
      <w:lang w:eastAsia="ja-JP"/>
    </w:rPr>
  </w:style>
  <w:style w:type="table" w:customStyle="1" w:styleId="Grigliatabella1">
    <w:name w:val="Griglia tabella1"/>
    <w:basedOn w:val="Tabellanormale"/>
    <w:uiPriority w:val="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
    <w:rPr>
      <w:rFonts w:ascii="Cambria" w:eastAsia="SimSun" w:hAnsi="Cambria" w:cs="SimSun"/>
      <w:color w:val="365F91"/>
      <w:sz w:val="26"/>
      <w:szCs w:val="26"/>
      <w:lang w:eastAsia="ja-JP"/>
    </w:rPr>
  </w:style>
  <w:style w:type="table" w:customStyle="1" w:styleId="TableNormal1">
    <w:name w:val="Table Normal1"/>
    <w:rPr>
      <w:rFonts w:ascii="Times New Roman" w:eastAsia="Arial Unicode MS" w:hAnsi="Times New Roman"/>
      <w:lang w:eastAsia="en-US"/>
    </w:rPr>
    <w:tblPr>
      <w:tblCellMar>
        <w:top w:w="0" w:type="dxa"/>
        <w:left w:w="0" w:type="dxa"/>
        <w:bottom w:w="0" w:type="dxa"/>
        <w:right w:w="0" w:type="dxa"/>
      </w:tblCellMar>
    </w:tblPr>
  </w:style>
  <w:style w:type="character" w:customStyle="1" w:styleId="TestonotaapidipaginaCarattere">
    <w:name w:val="Testo nota a piè di pagina Carattere"/>
    <w:basedOn w:val="Carpredefinitoparagrafo"/>
    <w:link w:val="Testonotaapidipagina"/>
    <w:uiPriority w:val="99"/>
    <w:rPr>
      <w:rFonts w:eastAsia="Calibri"/>
      <w:lang w:eastAsia="en-US"/>
    </w:rPr>
  </w:style>
  <w:style w:type="paragraph" w:customStyle="1" w:styleId="Revisione1">
    <w:name w:val="Revisione1"/>
    <w:uiPriority w:val="71"/>
    <w:rPr>
      <w:sz w:val="24"/>
      <w:szCs w:val="24"/>
      <w:lang w:eastAsia="ja-JP"/>
    </w:rPr>
  </w:style>
  <w:style w:type="character" w:customStyle="1" w:styleId="CorpotestoCarattere">
    <w:name w:val="Corpo testo Carattere"/>
    <w:basedOn w:val="Carpredefinitoparagrafo"/>
    <w:link w:val="Corpotesto"/>
    <w:rPr>
      <w:rFonts w:ascii="Times New Roman" w:eastAsia="Arial Unicode MS" w:hAnsi="Times New Roman" w:cs="Arial Unicode MS"/>
      <w:color w:val="000000"/>
      <w:sz w:val="24"/>
      <w:szCs w:val="24"/>
      <w:u w:color="000000"/>
    </w:rPr>
  </w:style>
  <w:style w:type="paragraph" w:customStyle="1" w:styleId="TableParagraph">
    <w:name w:val="Table Paragraph"/>
    <w:basedOn w:val="Normale"/>
    <w:uiPriority w:val="1"/>
    <w:qFormat/>
    <w:pPr>
      <w:widowControl w:val="0"/>
      <w:autoSpaceDE w:val="0"/>
      <w:autoSpaceDN w:val="0"/>
    </w:pPr>
    <w:rPr>
      <w:rFonts w:ascii="Times New Roman" w:eastAsia="Times New Roman" w:hAnsi="Times New Roman"/>
      <w:sz w:val="22"/>
      <w:szCs w:val="22"/>
      <w:lang w:eastAsia="en-US"/>
    </w:rPr>
  </w:style>
  <w:style w:type="paragraph" w:styleId="Revisione">
    <w:name w:val="Revision"/>
    <w:hidden/>
    <w:uiPriority w:val="99"/>
    <w:semiHidden/>
    <w:rsid w:val="009613D3"/>
    <w:rPr>
      <w:sz w:val="24"/>
      <w:szCs w:val="24"/>
      <w:lang w:eastAsia="ja-JP"/>
    </w:rPr>
  </w:style>
  <w:style w:type="paragraph" w:styleId="NormaleWeb">
    <w:name w:val="Normal (Web)"/>
    <w:basedOn w:val="Normale"/>
    <w:uiPriority w:val="99"/>
    <w:unhideWhenUsed/>
    <w:rsid w:val="00FA2731"/>
    <w:pPr>
      <w:spacing w:before="100" w:beforeAutospacing="1" w:after="100" w:afterAutospacing="1"/>
    </w:pPr>
    <w:rPr>
      <w:rFonts w:ascii="Times New Roman" w:eastAsia="Times New Roman" w:hAnsi="Times New Roman"/>
      <w:lang w:eastAsia="it-IT"/>
    </w:rPr>
  </w:style>
  <w:style w:type="paragraph" w:styleId="Titolo">
    <w:name w:val="Title"/>
    <w:basedOn w:val="Normale"/>
    <w:next w:val="Normale"/>
    <w:link w:val="TitoloCarattere"/>
    <w:uiPriority w:val="10"/>
    <w:qFormat/>
    <w:rsid w:val="002F603D"/>
    <w:pPr>
      <w:keepNext/>
      <w:keepLines/>
      <w:widowControl w:val="0"/>
      <w:spacing w:before="480" w:after="120"/>
    </w:pPr>
    <w:rPr>
      <w:rFonts w:eastAsia="Calibri" w:cs="Calibri"/>
      <w:b/>
      <w:color w:val="000000"/>
      <w:sz w:val="72"/>
      <w:szCs w:val="72"/>
      <w:u w:color="000000"/>
      <w:lang w:eastAsia="it-IT"/>
    </w:rPr>
  </w:style>
  <w:style w:type="character" w:customStyle="1" w:styleId="TitoloCarattere">
    <w:name w:val="Titolo Carattere"/>
    <w:basedOn w:val="Carpredefinitoparagrafo"/>
    <w:link w:val="Titolo"/>
    <w:uiPriority w:val="10"/>
    <w:rsid w:val="002F603D"/>
    <w:rPr>
      <w:rFonts w:eastAsia="Calibri" w:cs="Calibri"/>
      <w:b/>
      <w:color w:val="000000"/>
      <w:sz w:val="72"/>
      <w:szCs w:val="7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919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image" Target="media/image1.jpeg"/><Relationship Id="rId39" Type="http://schemas.openxmlformats.org/officeDocument/2006/relationships/image" Target="media/image12.png"/><Relationship Id="rId21" Type="http://schemas.openxmlformats.org/officeDocument/2006/relationships/styles" Target="styles.xml"/><Relationship Id="rId34" Type="http://schemas.openxmlformats.org/officeDocument/2006/relationships/image" Target="media/image7.emf"/><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endnotes" Target="endnotes.xml"/><Relationship Id="rId33" Type="http://schemas.openxmlformats.org/officeDocument/2006/relationships/image" Target="media/image6.emf"/><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numbering" Target="numbering.xml"/><Relationship Id="rId29" Type="http://schemas.openxmlformats.org/officeDocument/2006/relationships/image" Target="media/image3.png"/><Relationship Id="rId41" Type="http://schemas.openxmlformats.org/officeDocument/2006/relationships/image" Target="media/image14.pn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notes" Target="footnotes.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jpeg"/><Relationship Id="rId58"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webSettings" Target="webSettings.xml"/><Relationship Id="rId28" Type="http://schemas.openxmlformats.org/officeDocument/2006/relationships/hyperlink" Target="https://www.reteoncologicacampana.it/" TargetMode="External"/><Relationship Id="rId36" Type="http://schemas.openxmlformats.org/officeDocument/2006/relationships/image" Target="media/image9.emf"/><Relationship Id="rId49" Type="http://schemas.openxmlformats.org/officeDocument/2006/relationships/image" Target="media/image22.png"/><Relationship Id="rId57" Type="http://schemas.openxmlformats.org/officeDocument/2006/relationships/footer" Target="footer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image" Target="media/image4.pn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settings" Target="settings.xml"/><Relationship Id="rId27" Type="http://schemas.openxmlformats.org/officeDocument/2006/relationships/image" Target="media/image2.png"/><Relationship Id="rId30" Type="http://schemas.openxmlformats.org/officeDocument/2006/relationships/hyperlink" Target="http://www.siapec.it" TargetMode="External"/><Relationship Id="rId35" Type="http://schemas.openxmlformats.org/officeDocument/2006/relationships/image" Target="media/image8.png"/><Relationship Id="rId43" Type="http://schemas.openxmlformats.org/officeDocument/2006/relationships/image" Target="media/image16.JPG"/><Relationship Id="rId48" Type="http://schemas.openxmlformats.org/officeDocument/2006/relationships/image" Target="media/image21.png"/><Relationship Id="rId56"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image" Target="media/image24.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3DF853D4-6EE7-4A4B-9B0B-1C9BCE0F3B9C}">
  <ds:schemaRefs>
    <ds:schemaRef ds:uri="http://www.wps.cn/android/officeDocument/2013/mofficeCustomData"/>
  </ds:schemaRefs>
</ds:datastoreItem>
</file>

<file path=customXml/itemProps10.xml><?xml version="1.0" encoding="utf-8"?>
<ds:datastoreItem xmlns:ds="http://schemas.openxmlformats.org/officeDocument/2006/customXml" ds:itemID="{9762AD49-E19C-45BE-8477-EF21AAACC64D}">
  <ds:schemaRefs>
    <ds:schemaRef ds:uri="http://www.wps.cn/android/officeDocument/2013/mofficeCustomData"/>
  </ds:schemaRefs>
</ds:datastoreItem>
</file>

<file path=customXml/itemProps11.xml><?xml version="1.0" encoding="utf-8"?>
<ds:datastoreItem xmlns:ds="http://schemas.openxmlformats.org/officeDocument/2006/customXml" ds:itemID="{36C21C66-06DA-485F-B2E7-E542C5C27441}">
  <ds:schemaRefs>
    <ds:schemaRef ds:uri="http://www.wps.cn/android/officeDocument/2013/mofficeCustomData"/>
  </ds:schemaRefs>
</ds:datastoreItem>
</file>

<file path=customXml/itemProps12.xml><?xml version="1.0" encoding="utf-8"?>
<ds:datastoreItem xmlns:ds="http://schemas.openxmlformats.org/officeDocument/2006/customXml" ds:itemID="{5DAFB58A-63CD-479D-B0DF-4E52395D40CF}">
  <ds:schemaRefs>
    <ds:schemaRef ds:uri="http://www.wps.cn/android/officeDocument/2013/mofficeCustomData"/>
  </ds:schemaRefs>
</ds:datastoreItem>
</file>

<file path=customXml/itemProps13.xml><?xml version="1.0" encoding="utf-8"?>
<ds:datastoreItem xmlns:ds="http://schemas.openxmlformats.org/officeDocument/2006/customXml" ds:itemID="{DE755D41-9F86-4AAB-A2B4-0271252AB45B}">
  <ds:schemaRefs>
    <ds:schemaRef ds:uri="http://www.wps.cn/android/officeDocument/2013/mofficeCustomData"/>
  </ds:schemaRefs>
</ds:datastoreItem>
</file>

<file path=customXml/itemProps14.xml><?xml version="1.0" encoding="utf-8"?>
<ds:datastoreItem xmlns:ds="http://schemas.openxmlformats.org/officeDocument/2006/customXml" ds:itemID="{9937B993-6C24-49E7-9A50-566AE10701D9}">
  <ds:schemaRefs>
    <ds:schemaRef ds:uri="http://www.wps.cn/android/officeDocument/2013/mofficeCustomData"/>
  </ds:schemaRefs>
</ds:datastoreItem>
</file>

<file path=customXml/itemProps15.xml><?xml version="1.0" encoding="utf-8"?>
<ds:datastoreItem xmlns:ds="http://schemas.openxmlformats.org/officeDocument/2006/customXml" ds:itemID="{6CB46CE5-0DB1-4CF2-8956-866D88DD066D}">
  <ds:schemaRefs>
    <ds:schemaRef ds:uri="http://www.wps.cn/android/officeDocument/2013/mofficeCustomData"/>
  </ds:schemaRefs>
</ds:datastoreItem>
</file>

<file path=customXml/itemProps16.xml><?xml version="1.0" encoding="utf-8"?>
<ds:datastoreItem xmlns:ds="http://schemas.openxmlformats.org/officeDocument/2006/customXml" ds:itemID="{99B407F2-267E-47DE-A65F-BBCD7D30C8C4}">
  <ds:schemaRefs>
    <ds:schemaRef ds:uri="http://www.wps.cn/android/officeDocument/2013/mofficeCustomData"/>
  </ds:schemaRefs>
</ds:datastoreItem>
</file>

<file path=customXml/itemProps17.xml><?xml version="1.0" encoding="utf-8"?>
<ds:datastoreItem xmlns:ds="http://schemas.openxmlformats.org/officeDocument/2006/customXml" ds:itemID="{DB503E0B-D330-4072-A31F-0CF27207ECA4}">
  <ds:schemaRefs>
    <ds:schemaRef ds:uri="http://www.wps.cn/android/officeDocument/2013/mofficeCustomData"/>
  </ds:schemaRefs>
</ds:datastoreItem>
</file>

<file path=customXml/itemProps18.xml><?xml version="1.0" encoding="utf-8"?>
<ds:datastoreItem xmlns:ds="http://schemas.openxmlformats.org/officeDocument/2006/customXml" ds:itemID="{3909A80E-BAB6-4244-9A30-B0DD4B0ADABB}">
  <ds:schemaRefs>
    <ds:schemaRef ds:uri="http://www.wps.cn/android/officeDocument/2013/mofficeCustomData"/>
  </ds:schemaRefs>
</ds:datastoreItem>
</file>

<file path=customXml/itemProps19.xml><?xml version="1.0" encoding="utf-8"?>
<ds:datastoreItem xmlns:ds="http://schemas.openxmlformats.org/officeDocument/2006/customXml" ds:itemID="{6919199F-43B1-4153-AEC9-F1E7FF4295D4}">
  <ds:schemaRefs>
    <ds:schemaRef ds:uri="http://schemas.openxmlformats.org/officeDocument/2006/bibliography"/>
  </ds:schemaRefs>
</ds:datastoreItem>
</file>

<file path=customXml/itemProps2.xml><?xml version="1.0" encoding="utf-8"?>
<ds:datastoreItem xmlns:ds="http://schemas.openxmlformats.org/officeDocument/2006/customXml" ds:itemID="{6C5588A1-7DDC-4D47-9DAD-CFFFEE1F07F5}">
  <ds:schemaRefs>
    <ds:schemaRef ds:uri="http://www.wps.cn/android/officeDocument/2013/mofficeCustomData"/>
  </ds:schemaRefs>
</ds:datastoreItem>
</file>

<file path=customXml/itemProps3.xml><?xml version="1.0" encoding="utf-8"?>
<ds:datastoreItem xmlns:ds="http://schemas.openxmlformats.org/officeDocument/2006/customXml" ds:itemID="{61018BB1-E443-4681-8B21-298640466CE3}">
  <ds:schemaRefs>
    <ds:schemaRef ds:uri="http://www.wps.cn/android/officeDocument/2013/mofficeCustomData"/>
  </ds:schemaRefs>
</ds:datastoreItem>
</file>

<file path=customXml/itemProps4.xml><?xml version="1.0" encoding="utf-8"?>
<ds:datastoreItem xmlns:ds="http://schemas.openxmlformats.org/officeDocument/2006/customXml" ds:itemID="{B408B758-AABF-4003-A9FB-5DC8D48504F2}">
  <ds:schemaRefs>
    <ds:schemaRef ds:uri="http://www.wps.cn/android/officeDocument/2013/mofficeCustomData"/>
  </ds:schemaRefs>
</ds:datastoreItem>
</file>

<file path=customXml/itemProps5.xml><?xml version="1.0" encoding="utf-8"?>
<ds:datastoreItem xmlns:ds="http://schemas.openxmlformats.org/officeDocument/2006/customXml" ds:itemID="{0313FAE7-1129-40A7-8A58-6D2D1136734C}">
  <ds:schemaRefs>
    <ds:schemaRef ds:uri="http://www.wps.cn/android/officeDocument/2013/mofficeCustomData"/>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29D22C9B-BBD2-4452-A368-D1724DBB5C97}">
  <ds:schemaRefs>
    <ds:schemaRef ds:uri="http://www.wps.cn/android/officeDocument/2013/mofficeCustomData"/>
  </ds:schemaRefs>
</ds:datastoreItem>
</file>

<file path=customXml/itemProps8.xml><?xml version="1.0" encoding="utf-8"?>
<ds:datastoreItem xmlns:ds="http://schemas.openxmlformats.org/officeDocument/2006/customXml" ds:itemID="{30F9ACE3-58D3-4FC9-8BD4-2A4F5B595DF5}">
  <ds:schemaRefs>
    <ds:schemaRef ds:uri="http://www.wps.cn/android/officeDocument/2013/mofficeCustomData"/>
  </ds:schemaRefs>
</ds:datastoreItem>
</file>

<file path=customXml/itemProps9.xml><?xml version="1.0" encoding="utf-8"?>
<ds:datastoreItem xmlns:ds="http://schemas.openxmlformats.org/officeDocument/2006/customXml" ds:itemID="{0B0B4418-2693-4284-9E05-D3D2C301B88F}">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9332</Words>
  <Characters>56735</Characters>
  <Application>Microsoft Office Word</Application>
  <DocSecurity>4</DocSecurity>
  <Lines>472</Lines>
  <Paragraphs>131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Sgambato</dc:creator>
  <cp:lastModifiedBy>Elisabetta Coppola</cp:lastModifiedBy>
  <cp:revision>2</cp:revision>
  <cp:lastPrinted>2024-09-05T10:14:00Z</cp:lastPrinted>
  <dcterms:created xsi:type="dcterms:W3CDTF">2025-06-25T07:20:00Z</dcterms:created>
  <dcterms:modified xsi:type="dcterms:W3CDTF">2025-06-25T07:20:00Z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CAB1B00433F9436DAE5731CC84A7710E_13</vt:lpwstr>
  </property>
  <property fmtid="{D5CDD505-2E9C-101B-9397-08002B2CF9AE}" pid="3" name="KSOProductBuildVer">
    <vt:lpwstr>1033-12.2.0.13431</vt:lpwstr>
  </property>
  <property fmtid="{D5CDD505-2E9C-101B-9397-08002B2CF9AE}" pid="4" name="GrammarlyDocumentId">
    <vt:lpwstr>f2d3d896574078d4c695e370397f2048a44fc4f430b93a008857f9cca7ddaa73</vt:lpwstr>
  </property>
</Properties>
</file>